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4C112" w14:textId="0DBF2049" w:rsidR="002826F2" w:rsidRPr="00F86305" w:rsidRDefault="002826F2" w:rsidP="00363F85">
      <w:pPr>
        <w:spacing w:line="480" w:lineRule="auto"/>
        <w:jc w:val="left"/>
        <w:rPr>
          <w:b/>
          <w:sz w:val="24"/>
          <w:lang w:val="es-CO"/>
        </w:rPr>
      </w:pPr>
      <w:commentRangeStart w:id="0"/>
      <w:r w:rsidRPr="00F86305">
        <w:rPr>
          <w:b/>
          <w:sz w:val="24"/>
          <w:lang w:val="es-CO"/>
        </w:rPr>
        <w:t xml:space="preserve">Tipo de Artículo: </w:t>
      </w:r>
      <w:r w:rsidRPr="00F86305">
        <w:rPr>
          <w:sz w:val="24"/>
          <w:lang w:val="es-CO"/>
        </w:rPr>
        <w:t>Artículos de investigación científica y tecnológica</w:t>
      </w:r>
      <w:commentRangeEnd w:id="0"/>
      <w:r w:rsidR="006F4ECA">
        <w:rPr>
          <w:rStyle w:val="Refdecomentario"/>
        </w:rPr>
        <w:commentReference w:id="0"/>
      </w:r>
    </w:p>
    <w:p w14:paraId="032FC0AF" w14:textId="77777777" w:rsidR="002826F2" w:rsidRPr="00F86305" w:rsidRDefault="002826F2" w:rsidP="00363F85">
      <w:pPr>
        <w:spacing w:line="480" w:lineRule="auto"/>
        <w:jc w:val="left"/>
        <w:rPr>
          <w:b/>
          <w:sz w:val="24"/>
          <w:lang w:val="es-CO"/>
        </w:rPr>
      </w:pPr>
      <w:commentRangeStart w:id="1"/>
      <w:r w:rsidRPr="00F86305">
        <w:rPr>
          <w:b/>
          <w:sz w:val="24"/>
          <w:lang w:val="es-CO"/>
        </w:rPr>
        <w:t xml:space="preserve">Área Temática: </w:t>
      </w:r>
      <w:r w:rsidRPr="00F86305">
        <w:rPr>
          <w:sz w:val="24"/>
          <w:lang w:val="es-CO"/>
        </w:rPr>
        <w:t>Recursos biofísicos</w:t>
      </w:r>
      <w:commentRangeEnd w:id="1"/>
      <w:r w:rsidR="0031721E">
        <w:rPr>
          <w:rStyle w:val="Refdecomentario"/>
        </w:rPr>
        <w:commentReference w:id="1"/>
      </w:r>
    </w:p>
    <w:p w14:paraId="59FFB7B0" w14:textId="77777777" w:rsidR="002826F2" w:rsidRPr="00F86305" w:rsidRDefault="002826F2" w:rsidP="00363F85">
      <w:pPr>
        <w:spacing w:line="480" w:lineRule="auto"/>
        <w:jc w:val="center"/>
        <w:rPr>
          <w:b/>
          <w:sz w:val="24"/>
          <w:lang w:val="es-CO"/>
        </w:rPr>
      </w:pPr>
    </w:p>
    <w:p w14:paraId="4236CB08" w14:textId="53D88642" w:rsidR="00824B98" w:rsidRPr="00F86305" w:rsidRDefault="00824B98" w:rsidP="00363F85">
      <w:pPr>
        <w:spacing w:line="480" w:lineRule="auto"/>
        <w:jc w:val="center"/>
        <w:rPr>
          <w:b/>
          <w:sz w:val="24"/>
          <w:lang w:val="es-CO" w:eastAsia="es-CL"/>
        </w:rPr>
      </w:pPr>
      <w:commentRangeStart w:id="2"/>
      <w:r w:rsidRPr="00F86305">
        <w:rPr>
          <w:b/>
          <w:sz w:val="24"/>
          <w:lang w:val="es-CO" w:eastAsia="es-CL"/>
        </w:rPr>
        <w:t>Pequeños productores de maíz en el Caribe colombiano: estudio de sus atributos y prácticas agrícolas</w:t>
      </w:r>
    </w:p>
    <w:p w14:paraId="4B17D88F" w14:textId="77777777" w:rsidR="00D40EA9" w:rsidRPr="00F86305" w:rsidRDefault="00D40EA9" w:rsidP="00363F85">
      <w:pPr>
        <w:spacing w:line="480" w:lineRule="auto"/>
        <w:jc w:val="center"/>
        <w:rPr>
          <w:b/>
          <w:sz w:val="24"/>
          <w:lang w:val="es-CO" w:eastAsia="es-CL"/>
        </w:rPr>
      </w:pPr>
    </w:p>
    <w:p w14:paraId="6CDBB9F1" w14:textId="77777777" w:rsidR="00824B98" w:rsidRPr="00EF6CB2" w:rsidRDefault="00824B98" w:rsidP="00363F85">
      <w:pPr>
        <w:spacing w:line="480" w:lineRule="auto"/>
        <w:jc w:val="center"/>
        <w:rPr>
          <w:b/>
          <w:sz w:val="24"/>
          <w:lang w:eastAsia="es-CL"/>
        </w:rPr>
      </w:pPr>
      <w:r w:rsidRPr="00EF6CB2">
        <w:rPr>
          <w:b/>
          <w:sz w:val="24"/>
          <w:lang w:eastAsia="es-CL"/>
        </w:rPr>
        <w:t>Small-scale maize farmers in the Colombian Caribbean region: a study of their attributes and agricultural practices</w:t>
      </w:r>
      <w:commentRangeEnd w:id="2"/>
      <w:r w:rsidR="000B7763">
        <w:rPr>
          <w:rStyle w:val="Refdecomentario"/>
        </w:rPr>
        <w:commentReference w:id="2"/>
      </w:r>
    </w:p>
    <w:p w14:paraId="44794424" w14:textId="77777777" w:rsidR="00D40EA9" w:rsidRPr="00EF6CB2" w:rsidRDefault="00D40EA9" w:rsidP="00363F85">
      <w:pPr>
        <w:spacing w:line="480" w:lineRule="auto"/>
        <w:jc w:val="center"/>
        <w:rPr>
          <w:b/>
          <w:sz w:val="24"/>
          <w:lang w:eastAsia="es-CL"/>
        </w:rPr>
      </w:pPr>
    </w:p>
    <w:p w14:paraId="7B380100" w14:textId="2D7E10E5" w:rsidR="00A558D5" w:rsidRPr="00EF6CB2" w:rsidRDefault="00A558D5" w:rsidP="00363F85">
      <w:pPr>
        <w:spacing w:line="480" w:lineRule="auto"/>
        <w:jc w:val="center"/>
        <w:rPr>
          <w:b/>
          <w:sz w:val="24"/>
          <w:lang w:val="pt-BR"/>
        </w:rPr>
      </w:pPr>
    </w:p>
    <w:p w14:paraId="2E8B5ABB" w14:textId="77777777" w:rsidR="00824B98" w:rsidRPr="00F86305" w:rsidRDefault="00705866" w:rsidP="007E5326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  <w:commentRangeStart w:id="3"/>
      <w:r w:rsidRPr="00F86305">
        <w:rPr>
          <w:b/>
          <w:bCs/>
          <w:color w:val="221E1F"/>
          <w:sz w:val="24"/>
          <w:lang w:val="es-CO" w:eastAsia="es-CL"/>
        </w:rPr>
        <w:t>Resumen</w:t>
      </w:r>
      <w:commentRangeEnd w:id="3"/>
      <w:r w:rsidR="000B7763">
        <w:rPr>
          <w:rStyle w:val="Refdecomentario"/>
        </w:rPr>
        <w:commentReference w:id="3"/>
      </w:r>
    </w:p>
    <w:p w14:paraId="332489FB" w14:textId="77777777" w:rsidR="00A558D5" w:rsidRPr="00F86305" w:rsidRDefault="00A558D5" w:rsidP="00363F85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221E1F"/>
          <w:sz w:val="24"/>
          <w:lang w:val="es-CO" w:eastAsia="es-CL"/>
        </w:rPr>
      </w:pPr>
    </w:p>
    <w:p w14:paraId="1BCE380E" w14:textId="00EF0397" w:rsidR="00824B98" w:rsidRPr="00F86305" w:rsidRDefault="001420F5" w:rsidP="00363F85">
      <w:pPr>
        <w:autoSpaceDE w:val="0"/>
        <w:autoSpaceDN w:val="0"/>
        <w:adjustRightInd w:val="0"/>
        <w:spacing w:line="480" w:lineRule="auto"/>
        <w:rPr>
          <w:color w:val="221E1F"/>
          <w:sz w:val="24"/>
          <w:lang w:val="es-CO" w:eastAsia="es-CL"/>
        </w:rPr>
      </w:pPr>
      <w:r w:rsidRPr="00F86305">
        <w:rPr>
          <w:color w:val="221E1F"/>
          <w:sz w:val="24"/>
          <w:lang w:val="es-CO" w:eastAsia="es-CL"/>
        </w:rPr>
        <w:t>La agricultura familiar es la responsable de la mayor parte de la producción de los alimentos en América Latina. Sin embargo, es evidente que las innovaciones tecnológicas desarro</w:t>
      </w:r>
      <w:r w:rsidR="007E5326" w:rsidRPr="00F86305">
        <w:rPr>
          <w:color w:val="221E1F"/>
          <w:sz w:val="24"/>
          <w:lang w:val="es-CO" w:eastAsia="es-CL"/>
        </w:rPr>
        <w:t>lladas para mejorar la producti</w:t>
      </w:r>
      <w:r w:rsidRPr="00F86305">
        <w:rPr>
          <w:color w:val="221E1F"/>
          <w:sz w:val="24"/>
          <w:lang w:val="es-CO" w:eastAsia="es-CL"/>
        </w:rPr>
        <w:t xml:space="preserve">vidad del cultivo de maíz </w:t>
      </w:r>
      <w:r w:rsidRPr="00F86305">
        <w:rPr>
          <w:i/>
          <w:color w:val="221E1F"/>
          <w:sz w:val="24"/>
          <w:lang w:val="es-CO" w:eastAsia="es-CL"/>
        </w:rPr>
        <w:t xml:space="preserve">Zea </w:t>
      </w:r>
      <w:proofErr w:type="spellStart"/>
      <w:r w:rsidRPr="00F86305">
        <w:rPr>
          <w:i/>
          <w:color w:val="221E1F"/>
          <w:sz w:val="24"/>
          <w:lang w:val="es-CO" w:eastAsia="es-CL"/>
        </w:rPr>
        <w:t>mays</w:t>
      </w:r>
      <w:proofErr w:type="spellEnd"/>
      <w:r w:rsidRPr="00F86305">
        <w:rPr>
          <w:color w:val="221E1F"/>
          <w:sz w:val="24"/>
          <w:lang w:val="es-CO" w:eastAsia="es-CL"/>
        </w:rPr>
        <w:t xml:space="preserve"> L. (</w:t>
      </w:r>
      <w:proofErr w:type="spellStart"/>
      <w:r w:rsidRPr="00F86305">
        <w:rPr>
          <w:color w:val="221E1F"/>
          <w:sz w:val="24"/>
          <w:lang w:val="es-CO" w:eastAsia="es-CL"/>
        </w:rPr>
        <w:t>Poaceae</w:t>
      </w:r>
      <w:proofErr w:type="spellEnd"/>
      <w:r w:rsidRPr="00F86305">
        <w:rPr>
          <w:color w:val="221E1F"/>
          <w:sz w:val="24"/>
          <w:lang w:val="es-CO" w:eastAsia="es-CL"/>
        </w:rPr>
        <w:t>) no son del todo utilizadas por los pequeños productores. Con el objetivo de evaluar los atributos sociales, económicos y ambientales de los pequeños pro-ductores de maíz en el Caribe colombiano, se aplicó una encuesta estructurada a 227 productores de los departamentos de Atlántico y Magdalena, que fueron seleccionados mediante un esquema de muestreo estratificado. La información resultante fue estudiada con un modelo de regresión Poisson</w:t>
      </w:r>
      <w:r w:rsidR="007E5326" w:rsidRPr="00F86305">
        <w:rPr>
          <w:color w:val="221E1F"/>
          <w:sz w:val="24"/>
          <w:lang w:val="es-CO" w:eastAsia="es-CL"/>
        </w:rPr>
        <w:t xml:space="preserve"> </w:t>
      </w:r>
      <w:r w:rsidRPr="00F86305">
        <w:rPr>
          <w:color w:val="221E1F"/>
          <w:sz w:val="24"/>
          <w:lang w:val="es-CO" w:eastAsia="es-CL"/>
        </w:rPr>
        <w:t xml:space="preserve">truncado en cero mediante el paquete estadístico </w:t>
      </w:r>
      <w:r w:rsidR="007E5326" w:rsidRPr="00F86305">
        <w:rPr>
          <w:color w:val="221E1F"/>
          <w:sz w:val="24"/>
          <w:lang w:val="es-CO" w:eastAsia="es-CL"/>
        </w:rPr>
        <w:t>S</w:t>
      </w:r>
      <w:r w:rsidRPr="00F86305">
        <w:rPr>
          <w:color w:val="221E1F"/>
          <w:sz w:val="24"/>
          <w:lang w:val="es-CO" w:eastAsia="es-CL"/>
        </w:rPr>
        <w:t>tata®. Estos resultados permitieron inferir que para el departamento del Atlántico, los indicadores de edad, educación, índice de iniciativa, tenencia de la tierra, uso de maquinaria y apoyo institucional presentaron significancia estadística (p</w:t>
      </w:r>
      <w:r w:rsidR="00EF6CB2">
        <w:rPr>
          <w:color w:val="221E1F"/>
          <w:sz w:val="24"/>
          <w:lang w:val="es-CO" w:eastAsia="es-CL"/>
        </w:rPr>
        <w:t xml:space="preserve"> </w:t>
      </w:r>
      <w:r w:rsidRPr="00F86305">
        <w:rPr>
          <w:color w:val="221E1F"/>
          <w:sz w:val="24"/>
          <w:lang w:val="es-CO" w:eastAsia="es-CL"/>
        </w:rPr>
        <w:lastRenderedPageBreak/>
        <w:t>&lt;</w:t>
      </w:r>
      <w:r w:rsidR="00EF6CB2">
        <w:rPr>
          <w:color w:val="221E1F"/>
          <w:sz w:val="24"/>
          <w:lang w:val="es-CO" w:eastAsia="es-CL"/>
        </w:rPr>
        <w:t xml:space="preserve"> </w:t>
      </w:r>
      <w:r w:rsidRPr="00F86305">
        <w:rPr>
          <w:color w:val="221E1F"/>
          <w:sz w:val="24"/>
          <w:lang w:val="es-CO" w:eastAsia="es-CL"/>
        </w:rPr>
        <w:t xml:space="preserve">0,10); mientras que, para el departamento del Magdalena, los indicadores de índice de iniciativa, educación, tenencia de la tierra, capacidad de asociación, apoyo institucional y </w:t>
      </w:r>
      <w:r w:rsidR="007E5326" w:rsidRPr="00F86305">
        <w:rPr>
          <w:color w:val="221E1F"/>
          <w:sz w:val="24"/>
          <w:lang w:val="es-CO" w:eastAsia="es-CL"/>
        </w:rPr>
        <w:t>régimen hídrico presentaron sig</w:t>
      </w:r>
      <w:r w:rsidRPr="00F86305">
        <w:rPr>
          <w:color w:val="221E1F"/>
          <w:sz w:val="24"/>
          <w:lang w:val="es-CO" w:eastAsia="es-CL"/>
        </w:rPr>
        <w:t>nificación estadística (p</w:t>
      </w:r>
      <w:r w:rsidR="00EF6CB2">
        <w:rPr>
          <w:color w:val="221E1F"/>
          <w:sz w:val="24"/>
          <w:lang w:val="es-CO" w:eastAsia="es-CL"/>
        </w:rPr>
        <w:t xml:space="preserve"> </w:t>
      </w:r>
      <w:r w:rsidRPr="00F86305">
        <w:rPr>
          <w:color w:val="221E1F"/>
          <w:sz w:val="24"/>
          <w:lang w:val="es-CO" w:eastAsia="es-CL"/>
        </w:rPr>
        <w:t>&lt;</w:t>
      </w:r>
      <w:r w:rsidR="00EF6CB2">
        <w:rPr>
          <w:color w:val="221E1F"/>
          <w:sz w:val="24"/>
          <w:lang w:val="es-CO" w:eastAsia="es-CL"/>
        </w:rPr>
        <w:t xml:space="preserve"> </w:t>
      </w:r>
      <w:r w:rsidRPr="00F86305">
        <w:rPr>
          <w:color w:val="221E1F"/>
          <w:sz w:val="24"/>
          <w:lang w:val="es-CO" w:eastAsia="es-CL"/>
        </w:rPr>
        <w:t>0,10), en relación con el número de prácticas empleadas. Se concluye que la innovación resulta de un proceso complejo en el que influyen factores internos (del propio innovador) y externos (del contexto cultural e institucional).</w:t>
      </w:r>
    </w:p>
    <w:p w14:paraId="51492AB4" w14:textId="77777777" w:rsidR="00A558D5" w:rsidRPr="00F86305" w:rsidRDefault="00A558D5" w:rsidP="00363F85">
      <w:pPr>
        <w:autoSpaceDE w:val="0"/>
        <w:autoSpaceDN w:val="0"/>
        <w:adjustRightInd w:val="0"/>
        <w:spacing w:line="480" w:lineRule="auto"/>
        <w:rPr>
          <w:color w:val="221E1F"/>
          <w:sz w:val="24"/>
          <w:lang w:val="es-CO" w:eastAsia="es-CL"/>
        </w:rPr>
      </w:pPr>
    </w:p>
    <w:p w14:paraId="7EF82F60" w14:textId="77777777" w:rsidR="00824B98" w:rsidRPr="00F86305" w:rsidRDefault="001420F5" w:rsidP="00363F85">
      <w:pPr>
        <w:autoSpaceDE w:val="0"/>
        <w:autoSpaceDN w:val="0"/>
        <w:adjustRightInd w:val="0"/>
        <w:spacing w:line="480" w:lineRule="auto"/>
        <w:rPr>
          <w:color w:val="221E1F"/>
          <w:sz w:val="24"/>
          <w:lang w:val="es-CO" w:eastAsia="es-CL"/>
        </w:rPr>
      </w:pPr>
      <w:commentRangeStart w:id="4"/>
      <w:r w:rsidRPr="00F86305">
        <w:rPr>
          <w:b/>
          <w:bCs/>
          <w:color w:val="221E1F"/>
          <w:sz w:val="24"/>
          <w:lang w:val="es-CO" w:eastAsia="es-CL"/>
        </w:rPr>
        <w:t xml:space="preserve">Palabras clave: </w:t>
      </w:r>
      <w:r w:rsidRPr="00F86305">
        <w:rPr>
          <w:i/>
          <w:color w:val="221E1F"/>
          <w:sz w:val="24"/>
          <w:lang w:val="es-CO" w:eastAsia="es-CL"/>
        </w:rPr>
        <w:t xml:space="preserve">Zea </w:t>
      </w:r>
      <w:proofErr w:type="spellStart"/>
      <w:r w:rsidRPr="00F86305">
        <w:rPr>
          <w:i/>
          <w:color w:val="221E1F"/>
          <w:sz w:val="24"/>
          <w:lang w:val="es-CO" w:eastAsia="es-CL"/>
        </w:rPr>
        <w:t>mays</w:t>
      </w:r>
      <w:proofErr w:type="spellEnd"/>
      <w:r w:rsidRPr="00F86305">
        <w:rPr>
          <w:color w:val="221E1F"/>
          <w:sz w:val="24"/>
          <w:lang w:val="es-CO" w:eastAsia="es-CL"/>
        </w:rPr>
        <w:t>, agricultura familiar, innovación</w:t>
      </w:r>
      <w:commentRangeEnd w:id="4"/>
      <w:r w:rsidR="00CA7EE1">
        <w:rPr>
          <w:rStyle w:val="Refdecomentario"/>
        </w:rPr>
        <w:commentReference w:id="4"/>
      </w:r>
    </w:p>
    <w:p w14:paraId="123E7CF9" w14:textId="77777777" w:rsidR="00A9099C" w:rsidRDefault="00A9099C" w:rsidP="00363F85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221E1F"/>
          <w:sz w:val="24"/>
          <w:lang w:val="es-CO" w:eastAsia="es-CL"/>
        </w:rPr>
      </w:pPr>
    </w:p>
    <w:p w14:paraId="024D231E" w14:textId="77777777" w:rsidR="00F7753E" w:rsidRPr="006930F0" w:rsidRDefault="00F7753E" w:rsidP="00F7753E">
      <w:pPr>
        <w:autoSpaceDE w:val="0"/>
        <w:autoSpaceDN w:val="0"/>
        <w:adjustRightInd w:val="0"/>
        <w:spacing w:line="480" w:lineRule="auto"/>
        <w:jc w:val="left"/>
        <w:rPr>
          <w:b/>
          <w:bCs/>
          <w:color w:val="221E1F"/>
          <w:sz w:val="24"/>
          <w:lang w:eastAsia="es-CL"/>
        </w:rPr>
      </w:pPr>
      <w:r w:rsidRPr="006930F0">
        <w:rPr>
          <w:b/>
          <w:bCs/>
          <w:color w:val="221E1F"/>
          <w:sz w:val="24"/>
          <w:lang w:eastAsia="es-CL"/>
        </w:rPr>
        <w:t>Abstract</w:t>
      </w:r>
    </w:p>
    <w:p w14:paraId="6448F463" w14:textId="77777777" w:rsidR="00F7753E" w:rsidRPr="00F7753E" w:rsidRDefault="00F7753E" w:rsidP="006930F0">
      <w:pPr>
        <w:autoSpaceDE w:val="0"/>
        <w:autoSpaceDN w:val="0"/>
        <w:adjustRightInd w:val="0"/>
        <w:spacing w:line="480" w:lineRule="auto"/>
        <w:rPr>
          <w:bCs/>
          <w:color w:val="221E1F"/>
          <w:sz w:val="24"/>
          <w:lang w:eastAsia="es-CL"/>
        </w:rPr>
      </w:pPr>
      <w:r>
        <w:rPr>
          <w:bCs/>
          <w:color w:val="221E1F"/>
          <w:sz w:val="24"/>
          <w:lang w:eastAsia="es-CL"/>
        </w:rPr>
        <w:t>Family farming is responsible for most</w:t>
      </w:r>
      <w:r w:rsidRPr="00F7753E">
        <w:rPr>
          <w:bCs/>
          <w:color w:val="221E1F"/>
          <w:sz w:val="24"/>
          <w:lang w:eastAsia="es-CL"/>
        </w:rPr>
        <w:t xml:space="preserve"> foo</w:t>
      </w:r>
      <w:r>
        <w:rPr>
          <w:bCs/>
          <w:color w:val="221E1F"/>
          <w:sz w:val="24"/>
          <w:lang w:eastAsia="es-CL"/>
        </w:rPr>
        <w:t xml:space="preserve">d production in Latin America. However, it is important to note that developed innovations to improve maize, </w:t>
      </w:r>
      <w:r w:rsidRPr="00F7753E">
        <w:rPr>
          <w:bCs/>
          <w:i/>
          <w:color w:val="221E1F"/>
          <w:sz w:val="24"/>
          <w:lang w:eastAsia="es-CL"/>
        </w:rPr>
        <w:t>Zea mays</w:t>
      </w:r>
      <w:r>
        <w:rPr>
          <w:bCs/>
          <w:color w:val="221E1F"/>
          <w:sz w:val="24"/>
          <w:lang w:eastAsia="es-CL"/>
        </w:rPr>
        <w:t xml:space="preserve"> L. (</w:t>
      </w:r>
      <w:proofErr w:type="spellStart"/>
      <w:r>
        <w:rPr>
          <w:bCs/>
          <w:color w:val="221E1F"/>
          <w:sz w:val="24"/>
          <w:lang w:eastAsia="es-CL"/>
        </w:rPr>
        <w:t>Poaceae</w:t>
      </w:r>
      <w:proofErr w:type="spellEnd"/>
      <w:r>
        <w:rPr>
          <w:bCs/>
          <w:color w:val="221E1F"/>
          <w:sz w:val="24"/>
          <w:lang w:eastAsia="es-CL"/>
        </w:rPr>
        <w:t xml:space="preserve">) productivity are not entirely implemented by small producers. </w:t>
      </w:r>
      <w:r w:rsidRPr="00F7753E">
        <w:rPr>
          <w:bCs/>
          <w:color w:val="221E1F"/>
          <w:sz w:val="24"/>
          <w:lang w:eastAsia="es-CL"/>
        </w:rPr>
        <w:t>In order to assess the soc</w:t>
      </w:r>
      <w:r>
        <w:rPr>
          <w:bCs/>
          <w:color w:val="221E1F"/>
          <w:sz w:val="24"/>
          <w:lang w:eastAsia="es-CL"/>
        </w:rPr>
        <w:t xml:space="preserve">ial, economic, and environmental attributes of </w:t>
      </w:r>
      <w:r w:rsidRPr="00F7753E">
        <w:rPr>
          <w:bCs/>
          <w:color w:val="221E1F"/>
          <w:sz w:val="24"/>
          <w:lang w:eastAsia="es-CL"/>
        </w:rPr>
        <w:t>small-scale</w:t>
      </w:r>
      <w:r>
        <w:rPr>
          <w:bCs/>
          <w:color w:val="221E1F"/>
          <w:sz w:val="24"/>
          <w:lang w:eastAsia="es-CL"/>
        </w:rPr>
        <w:t xml:space="preserve"> maize farmers </w:t>
      </w:r>
      <w:r w:rsidRPr="00F7753E">
        <w:rPr>
          <w:bCs/>
          <w:color w:val="221E1F"/>
          <w:sz w:val="24"/>
          <w:lang w:eastAsia="es-CL"/>
        </w:rPr>
        <w:t>in the Colombian Caribbe</w:t>
      </w:r>
      <w:r w:rsidR="006930F0">
        <w:rPr>
          <w:bCs/>
          <w:color w:val="221E1F"/>
          <w:sz w:val="24"/>
          <w:lang w:eastAsia="es-CL"/>
        </w:rPr>
        <w:t xml:space="preserve">an region, a structured survey was conducted on 227 farmers in the departments of Atlántico and Magdalena, which were </w:t>
      </w:r>
      <w:r w:rsidRPr="00F7753E">
        <w:rPr>
          <w:bCs/>
          <w:color w:val="221E1F"/>
          <w:sz w:val="24"/>
          <w:lang w:eastAsia="es-CL"/>
        </w:rPr>
        <w:t>selected through a stratified samp</w:t>
      </w:r>
      <w:r w:rsidR="006930F0">
        <w:rPr>
          <w:bCs/>
          <w:color w:val="221E1F"/>
          <w:sz w:val="24"/>
          <w:lang w:eastAsia="es-CL"/>
        </w:rPr>
        <w:t xml:space="preserve">ling method with proportional allocation. The resulting information was subjected to evaluation with </w:t>
      </w:r>
      <w:r w:rsidRPr="00F7753E">
        <w:rPr>
          <w:bCs/>
          <w:color w:val="221E1F"/>
          <w:sz w:val="24"/>
          <w:lang w:eastAsia="es-CL"/>
        </w:rPr>
        <w:t>Zero-truncated</w:t>
      </w:r>
      <w:r w:rsidR="006930F0">
        <w:rPr>
          <w:bCs/>
          <w:color w:val="221E1F"/>
          <w:sz w:val="24"/>
          <w:lang w:eastAsia="es-CL"/>
        </w:rPr>
        <w:t xml:space="preserve"> Poisson regression using the statistical software STATA®.</w:t>
      </w:r>
      <w:r w:rsidR="006930F0" w:rsidRPr="006930F0">
        <w:rPr>
          <w:bCs/>
          <w:color w:val="221E1F"/>
          <w:sz w:val="24"/>
          <w:lang w:eastAsia="es-CL"/>
        </w:rPr>
        <w:t xml:space="preserve"> T</w:t>
      </w:r>
      <w:r w:rsidR="006930F0">
        <w:rPr>
          <w:bCs/>
          <w:color w:val="221E1F"/>
          <w:sz w:val="24"/>
          <w:lang w:eastAsia="es-CL"/>
        </w:rPr>
        <w:t xml:space="preserve">he results </w:t>
      </w:r>
      <w:r w:rsidR="006930F0" w:rsidRPr="006930F0">
        <w:rPr>
          <w:bCs/>
          <w:color w:val="221E1F"/>
          <w:sz w:val="24"/>
          <w:lang w:eastAsia="es-CL"/>
        </w:rPr>
        <w:t xml:space="preserve">indicated </w:t>
      </w:r>
      <w:r w:rsidR="006930F0">
        <w:rPr>
          <w:bCs/>
          <w:color w:val="221E1F"/>
          <w:sz w:val="24"/>
          <w:lang w:eastAsia="es-CL"/>
        </w:rPr>
        <w:t>that in the depart</w:t>
      </w:r>
      <w:r w:rsidR="006930F0" w:rsidRPr="006930F0">
        <w:rPr>
          <w:bCs/>
          <w:color w:val="221E1F"/>
          <w:sz w:val="24"/>
          <w:lang w:eastAsia="es-CL"/>
        </w:rPr>
        <w:t>ment of Atlántico, age, education, diffusion index, land ownership</w:t>
      </w:r>
      <w:r w:rsidR="006930F0">
        <w:rPr>
          <w:bCs/>
          <w:color w:val="221E1F"/>
          <w:sz w:val="24"/>
          <w:lang w:eastAsia="es-CL"/>
        </w:rPr>
        <w:t xml:space="preserve">, use of </w:t>
      </w:r>
      <w:r w:rsidR="006930F0" w:rsidRPr="006930F0">
        <w:rPr>
          <w:bCs/>
          <w:color w:val="221E1F"/>
          <w:sz w:val="24"/>
          <w:lang w:eastAsia="es-CL"/>
        </w:rPr>
        <w:t xml:space="preserve">machinery </w:t>
      </w:r>
      <w:r w:rsidR="006930F0">
        <w:rPr>
          <w:bCs/>
          <w:color w:val="221E1F"/>
          <w:sz w:val="24"/>
          <w:lang w:eastAsia="es-CL"/>
        </w:rPr>
        <w:t xml:space="preserve">and institutional support are statistically significant </w:t>
      </w:r>
      <w:r w:rsidR="006930F0" w:rsidRPr="006930F0">
        <w:rPr>
          <w:bCs/>
          <w:color w:val="221E1F"/>
          <w:sz w:val="24"/>
          <w:lang w:eastAsia="es-CL"/>
        </w:rPr>
        <w:t>(p</w:t>
      </w:r>
      <w:r w:rsidR="006930F0">
        <w:rPr>
          <w:bCs/>
          <w:color w:val="221E1F"/>
          <w:sz w:val="24"/>
          <w:lang w:eastAsia="es-CL"/>
        </w:rPr>
        <w:t xml:space="preserve"> </w:t>
      </w:r>
      <w:r w:rsidR="006930F0" w:rsidRPr="006930F0">
        <w:rPr>
          <w:bCs/>
          <w:color w:val="221E1F"/>
          <w:sz w:val="24"/>
          <w:lang w:eastAsia="es-CL"/>
        </w:rPr>
        <w:t>&lt;</w:t>
      </w:r>
      <w:r w:rsidR="006930F0">
        <w:rPr>
          <w:bCs/>
          <w:color w:val="221E1F"/>
          <w:sz w:val="24"/>
          <w:lang w:eastAsia="es-CL"/>
        </w:rPr>
        <w:t xml:space="preserve"> 0.10) and </w:t>
      </w:r>
      <w:r w:rsidR="006930F0" w:rsidRPr="006930F0">
        <w:rPr>
          <w:bCs/>
          <w:color w:val="221E1F"/>
          <w:sz w:val="24"/>
          <w:lang w:eastAsia="es-CL"/>
        </w:rPr>
        <w:t>in the department of Magdalen</w:t>
      </w:r>
      <w:r w:rsidR="006930F0">
        <w:rPr>
          <w:bCs/>
          <w:color w:val="221E1F"/>
          <w:sz w:val="24"/>
          <w:lang w:eastAsia="es-CL"/>
        </w:rPr>
        <w:t xml:space="preserve">a, diffusion index, education, land ownership, associativity, institutional support, and water regime are statistically significant </w:t>
      </w:r>
      <w:r w:rsidR="006930F0" w:rsidRPr="006930F0">
        <w:rPr>
          <w:bCs/>
          <w:color w:val="221E1F"/>
          <w:sz w:val="24"/>
          <w:lang w:eastAsia="es-CL"/>
        </w:rPr>
        <w:t>(p</w:t>
      </w:r>
      <w:r w:rsidR="006930F0">
        <w:rPr>
          <w:bCs/>
          <w:color w:val="221E1F"/>
          <w:sz w:val="24"/>
          <w:lang w:eastAsia="es-CL"/>
        </w:rPr>
        <w:t xml:space="preserve"> </w:t>
      </w:r>
      <w:r w:rsidR="006930F0" w:rsidRPr="006930F0">
        <w:rPr>
          <w:bCs/>
          <w:color w:val="221E1F"/>
          <w:sz w:val="24"/>
          <w:lang w:eastAsia="es-CL"/>
        </w:rPr>
        <w:t>&lt;</w:t>
      </w:r>
      <w:r w:rsidR="006930F0">
        <w:rPr>
          <w:bCs/>
          <w:color w:val="221E1F"/>
          <w:sz w:val="24"/>
          <w:lang w:eastAsia="es-CL"/>
        </w:rPr>
        <w:t xml:space="preserve"> </w:t>
      </w:r>
      <w:r w:rsidR="006930F0" w:rsidRPr="006930F0">
        <w:rPr>
          <w:bCs/>
          <w:color w:val="221E1F"/>
          <w:sz w:val="24"/>
          <w:lang w:eastAsia="es-CL"/>
        </w:rPr>
        <w:t>0</w:t>
      </w:r>
      <w:r w:rsidR="006930F0">
        <w:rPr>
          <w:bCs/>
          <w:color w:val="221E1F"/>
          <w:sz w:val="24"/>
          <w:lang w:eastAsia="es-CL"/>
        </w:rPr>
        <w:t xml:space="preserve">.10) regarding the </w:t>
      </w:r>
      <w:r w:rsidR="006930F0">
        <w:rPr>
          <w:bCs/>
          <w:color w:val="221E1F"/>
          <w:sz w:val="24"/>
          <w:lang w:eastAsia="es-CL"/>
        </w:rPr>
        <w:lastRenderedPageBreak/>
        <w:t>use of agri</w:t>
      </w:r>
      <w:r w:rsidR="006930F0" w:rsidRPr="006930F0">
        <w:rPr>
          <w:bCs/>
          <w:color w:val="221E1F"/>
          <w:sz w:val="24"/>
          <w:lang w:eastAsia="es-CL"/>
        </w:rPr>
        <w:t xml:space="preserve">cultural practices. It is concluded that innovation results from a complex process influenced by </w:t>
      </w:r>
      <w:r w:rsidR="006930F0">
        <w:rPr>
          <w:bCs/>
          <w:color w:val="221E1F"/>
          <w:sz w:val="24"/>
          <w:lang w:eastAsia="es-CL"/>
        </w:rPr>
        <w:t>internal (the innovator himself</w:t>
      </w:r>
      <w:r w:rsidR="006930F0" w:rsidRPr="006930F0">
        <w:rPr>
          <w:bCs/>
          <w:color w:val="221E1F"/>
          <w:sz w:val="24"/>
          <w:lang w:eastAsia="es-CL"/>
        </w:rPr>
        <w:t>) and external (cultural and institutional) factors.</w:t>
      </w:r>
    </w:p>
    <w:p w14:paraId="5DD46689" w14:textId="77777777" w:rsidR="006930F0" w:rsidRDefault="006930F0" w:rsidP="00F7753E">
      <w:pPr>
        <w:autoSpaceDE w:val="0"/>
        <w:autoSpaceDN w:val="0"/>
        <w:adjustRightInd w:val="0"/>
        <w:spacing w:line="480" w:lineRule="auto"/>
        <w:jc w:val="left"/>
        <w:rPr>
          <w:b/>
          <w:bCs/>
          <w:color w:val="221E1F"/>
          <w:sz w:val="24"/>
          <w:lang w:eastAsia="es-CL"/>
        </w:rPr>
      </w:pPr>
    </w:p>
    <w:p w14:paraId="386E8E2E" w14:textId="77777777" w:rsidR="006930F0" w:rsidRDefault="00F7753E" w:rsidP="006930F0">
      <w:pPr>
        <w:autoSpaceDE w:val="0"/>
        <w:autoSpaceDN w:val="0"/>
        <w:adjustRightInd w:val="0"/>
        <w:spacing w:line="480" w:lineRule="auto"/>
        <w:jc w:val="left"/>
        <w:rPr>
          <w:b/>
          <w:bCs/>
          <w:color w:val="221E1F"/>
          <w:sz w:val="24"/>
          <w:lang w:eastAsia="es-CL"/>
        </w:rPr>
      </w:pPr>
      <w:r w:rsidRPr="00F7753E">
        <w:rPr>
          <w:b/>
          <w:bCs/>
          <w:color w:val="221E1F"/>
          <w:sz w:val="24"/>
          <w:lang w:eastAsia="es-CL"/>
        </w:rPr>
        <w:t>Key words:</w:t>
      </w:r>
      <w:r w:rsidR="006930F0">
        <w:rPr>
          <w:b/>
          <w:bCs/>
          <w:color w:val="221E1F"/>
          <w:sz w:val="24"/>
          <w:lang w:eastAsia="es-CL"/>
        </w:rPr>
        <w:t xml:space="preserve"> </w:t>
      </w:r>
      <w:r w:rsidR="006930F0" w:rsidRPr="006930F0">
        <w:rPr>
          <w:bCs/>
          <w:i/>
          <w:color w:val="221E1F"/>
          <w:sz w:val="24"/>
          <w:lang w:eastAsia="es-CL"/>
        </w:rPr>
        <w:t>Zea mays</w:t>
      </w:r>
      <w:r w:rsidR="006930F0" w:rsidRPr="006930F0">
        <w:rPr>
          <w:bCs/>
          <w:color w:val="221E1F"/>
          <w:sz w:val="24"/>
          <w:lang w:eastAsia="es-CL"/>
        </w:rPr>
        <w:t>, family farming, innovation</w:t>
      </w:r>
      <w:r w:rsidR="006930F0" w:rsidRPr="006930F0">
        <w:rPr>
          <w:b/>
          <w:bCs/>
          <w:color w:val="221E1F"/>
          <w:sz w:val="24"/>
          <w:lang w:eastAsia="es-CL"/>
        </w:rPr>
        <w:t xml:space="preserve"> </w:t>
      </w:r>
    </w:p>
    <w:p w14:paraId="04515095" w14:textId="7D6C2288" w:rsidR="00A558D5" w:rsidRPr="00F7753E" w:rsidRDefault="00A558D5" w:rsidP="006930F0">
      <w:pPr>
        <w:autoSpaceDE w:val="0"/>
        <w:autoSpaceDN w:val="0"/>
        <w:adjustRightInd w:val="0"/>
        <w:spacing w:line="480" w:lineRule="auto"/>
        <w:jc w:val="left"/>
        <w:rPr>
          <w:b/>
          <w:bCs/>
          <w:color w:val="221E1F"/>
          <w:sz w:val="24"/>
          <w:lang w:eastAsia="es-CL"/>
        </w:rPr>
      </w:pPr>
    </w:p>
    <w:p w14:paraId="3E8D1DC0" w14:textId="77777777" w:rsidR="00824B98" w:rsidRPr="006930F0" w:rsidRDefault="00824B98" w:rsidP="007E5326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  <w:commentRangeStart w:id="5"/>
      <w:r w:rsidRPr="006930F0">
        <w:rPr>
          <w:b/>
          <w:bCs/>
          <w:color w:val="221E1F"/>
          <w:sz w:val="24"/>
          <w:lang w:val="es-CO" w:eastAsia="es-CL"/>
        </w:rPr>
        <w:t>Introducción</w:t>
      </w:r>
      <w:commentRangeEnd w:id="5"/>
      <w:r w:rsidR="00E639AC">
        <w:rPr>
          <w:rStyle w:val="Refdecomentario"/>
        </w:rPr>
        <w:commentReference w:id="5"/>
      </w:r>
    </w:p>
    <w:p w14:paraId="46BB1C60" w14:textId="77777777" w:rsidR="00A558D5" w:rsidRPr="00AC3CEB" w:rsidRDefault="00A558D5" w:rsidP="00363F85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221E1F"/>
          <w:sz w:val="24"/>
          <w:lang w:val="es-ES" w:eastAsia="es-CL"/>
        </w:rPr>
      </w:pPr>
    </w:p>
    <w:p w14:paraId="133C6F9C" w14:textId="77777777" w:rsidR="007B23D0" w:rsidRPr="00F86305" w:rsidRDefault="007B23D0" w:rsidP="00363F85">
      <w:pPr>
        <w:autoSpaceDE w:val="0"/>
        <w:autoSpaceDN w:val="0"/>
        <w:adjustRightInd w:val="0"/>
        <w:spacing w:line="480" w:lineRule="auto"/>
        <w:rPr>
          <w:color w:val="221E1F"/>
          <w:sz w:val="24"/>
          <w:lang w:val="es-CO" w:eastAsia="es-CL"/>
        </w:rPr>
      </w:pPr>
      <w:r w:rsidRPr="00F86305">
        <w:rPr>
          <w:color w:val="221E1F"/>
          <w:sz w:val="24"/>
          <w:lang w:val="es-CO" w:eastAsia="es-CL"/>
        </w:rPr>
        <w:t>El agropecuario es uno de los sectores que reviste mayor importancia económica, social y ecol</w:t>
      </w:r>
      <w:r w:rsidR="003D50A3" w:rsidRPr="00F86305">
        <w:rPr>
          <w:color w:val="221E1F"/>
          <w:sz w:val="24"/>
          <w:lang w:val="es-CO" w:eastAsia="es-CL"/>
        </w:rPr>
        <w:t>ógica a nivel mundial (</w:t>
      </w:r>
      <w:proofErr w:type="spellStart"/>
      <w:r w:rsidR="003D50A3" w:rsidRPr="00F86305">
        <w:rPr>
          <w:color w:val="221E1F"/>
          <w:sz w:val="24"/>
          <w:lang w:val="es-CO" w:eastAsia="es-CL"/>
        </w:rPr>
        <w:t>Perfetti</w:t>
      </w:r>
      <w:proofErr w:type="spellEnd"/>
      <w:r w:rsidR="003D50A3" w:rsidRPr="00F86305">
        <w:rPr>
          <w:color w:val="221E1F"/>
          <w:sz w:val="24"/>
          <w:lang w:val="es-CO" w:eastAsia="es-CL"/>
        </w:rPr>
        <w:t xml:space="preserve">, </w:t>
      </w:r>
      <w:r w:rsidRPr="00F86305">
        <w:rPr>
          <w:color w:val="221E1F"/>
          <w:sz w:val="24"/>
          <w:lang w:val="es-CO" w:eastAsia="es-CL"/>
        </w:rPr>
        <w:t xml:space="preserve">2013; </w:t>
      </w:r>
      <w:r w:rsidR="003D50A3" w:rsidRPr="00F86305">
        <w:rPr>
          <w:color w:val="221E1F"/>
          <w:sz w:val="24"/>
          <w:lang w:val="es-CO" w:eastAsia="es-CL"/>
        </w:rPr>
        <w:t xml:space="preserve">Machado, Rodríguez, Álvarez </w:t>
      </w:r>
      <w:r w:rsidR="00F7753E">
        <w:rPr>
          <w:color w:val="221E1F"/>
          <w:sz w:val="24"/>
          <w:lang w:val="es-CO" w:eastAsia="es-CL"/>
        </w:rPr>
        <w:t>&amp;</w:t>
      </w:r>
      <w:r w:rsidR="003D50A3" w:rsidRPr="00F86305">
        <w:rPr>
          <w:color w:val="221E1F"/>
          <w:sz w:val="24"/>
          <w:lang w:val="es-CO" w:eastAsia="es-CL"/>
        </w:rPr>
        <w:t xml:space="preserve"> Martínez, 2015</w:t>
      </w:r>
      <w:r w:rsidRPr="00F86305">
        <w:rPr>
          <w:color w:val="221E1F"/>
          <w:sz w:val="24"/>
          <w:lang w:val="es-CO" w:eastAsia="es-CL"/>
        </w:rPr>
        <w:t>). En el caso de América Latina, factores como el aumento de la demanda de alimentos, la demanda de materias primas y fibras para acceder a nuevos mercados, el crecimiento poblacional, la inseguridad</w:t>
      </w:r>
      <w:r w:rsidR="003D50A3" w:rsidRPr="00F86305">
        <w:rPr>
          <w:color w:val="221E1F"/>
          <w:sz w:val="24"/>
          <w:lang w:val="es-CO" w:eastAsia="es-CL"/>
        </w:rPr>
        <w:t xml:space="preserve"> alimentaria, la pobreza rural, y</w:t>
      </w:r>
      <w:r w:rsidRPr="00F86305">
        <w:rPr>
          <w:color w:val="221E1F"/>
          <w:sz w:val="24"/>
          <w:lang w:val="es-CO" w:eastAsia="es-CL"/>
        </w:rPr>
        <w:t xml:space="preserve"> las restricciones ambientales y el desarrollo industrial de las naciones hacen imperiosa la necesidad de los Estados de crear y fomentar políticas públicas que favorezcan y apoyen el desarrollo y la consolidación del sector agropecuario (</w:t>
      </w:r>
      <w:r w:rsidR="007E5326" w:rsidRPr="00F86305">
        <w:rPr>
          <w:color w:val="221E1F"/>
          <w:sz w:val="24"/>
          <w:lang w:val="es-CO" w:eastAsia="es-CL"/>
        </w:rPr>
        <w:t>F</w:t>
      </w:r>
      <w:r w:rsidRPr="00F86305">
        <w:rPr>
          <w:color w:val="221E1F"/>
          <w:sz w:val="24"/>
          <w:lang w:val="es-CO" w:eastAsia="es-CL"/>
        </w:rPr>
        <w:t xml:space="preserve">ida </w:t>
      </w:r>
      <w:r w:rsidR="00F7753E">
        <w:rPr>
          <w:color w:val="221E1F"/>
          <w:sz w:val="24"/>
          <w:lang w:val="es-CO" w:eastAsia="es-CL"/>
        </w:rPr>
        <w:t>&amp;</w:t>
      </w:r>
      <w:r w:rsidRPr="00F86305">
        <w:rPr>
          <w:color w:val="221E1F"/>
          <w:sz w:val="24"/>
          <w:lang w:val="es-CO" w:eastAsia="es-CL"/>
        </w:rPr>
        <w:t xml:space="preserve"> </w:t>
      </w:r>
      <w:proofErr w:type="spellStart"/>
      <w:r w:rsidRPr="00F86305">
        <w:rPr>
          <w:color w:val="221E1F"/>
          <w:sz w:val="24"/>
          <w:lang w:val="es-CO" w:eastAsia="es-CL"/>
        </w:rPr>
        <w:t>Rimisp</w:t>
      </w:r>
      <w:proofErr w:type="spellEnd"/>
      <w:r w:rsidR="003D50A3" w:rsidRPr="00F86305">
        <w:rPr>
          <w:color w:val="221E1F"/>
          <w:sz w:val="24"/>
          <w:lang w:val="es-CO" w:eastAsia="es-CL"/>
        </w:rPr>
        <w:t>,</w:t>
      </w:r>
      <w:r w:rsidRPr="00F86305">
        <w:rPr>
          <w:color w:val="221E1F"/>
          <w:sz w:val="24"/>
          <w:lang w:val="es-CO" w:eastAsia="es-CL"/>
        </w:rPr>
        <w:t xml:space="preserve"> 2014). </w:t>
      </w:r>
    </w:p>
    <w:p w14:paraId="10927A42" w14:textId="77777777" w:rsidR="007E5326" w:rsidRDefault="007E5326" w:rsidP="007E5326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</w:p>
    <w:p w14:paraId="5E68ED7F" w14:textId="77777777" w:rsidR="00824B98" w:rsidRPr="00F86305" w:rsidRDefault="00824B98" w:rsidP="007E5326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  <w:r w:rsidRPr="00F86305">
        <w:rPr>
          <w:b/>
          <w:bCs/>
          <w:color w:val="221E1F"/>
          <w:sz w:val="24"/>
          <w:lang w:val="es-CO" w:eastAsia="es-CL"/>
        </w:rPr>
        <w:t>Materiales y métodos</w:t>
      </w:r>
    </w:p>
    <w:p w14:paraId="7A6C11D3" w14:textId="77777777" w:rsidR="00A558D5" w:rsidRPr="00F86305" w:rsidRDefault="00A558D5" w:rsidP="00363F85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221E1F"/>
          <w:sz w:val="24"/>
          <w:lang w:val="es-CO" w:eastAsia="es-CL"/>
        </w:rPr>
      </w:pPr>
    </w:p>
    <w:p w14:paraId="1EF4D30D" w14:textId="77777777" w:rsidR="00824B98" w:rsidRDefault="005C75E5" w:rsidP="00363F85">
      <w:pPr>
        <w:autoSpaceDE w:val="0"/>
        <w:autoSpaceDN w:val="0"/>
        <w:adjustRightInd w:val="0"/>
        <w:spacing w:line="480" w:lineRule="auto"/>
        <w:rPr>
          <w:color w:val="221E1F"/>
          <w:sz w:val="24"/>
          <w:lang w:val="es-CO" w:eastAsia="es-CL"/>
        </w:rPr>
      </w:pPr>
      <w:r w:rsidRPr="00F86305">
        <w:rPr>
          <w:color w:val="221E1F"/>
          <w:sz w:val="24"/>
          <w:lang w:val="es-CO" w:eastAsia="es-CL"/>
        </w:rPr>
        <w:t xml:space="preserve">El estudio se llevó a </w:t>
      </w:r>
      <w:r w:rsidR="007E5326" w:rsidRPr="00F86305">
        <w:rPr>
          <w:color w:val="221E1F"/>
          <w:sz w:val="24"/>
          <w:lang w:val="es-CO" w:eastAsia="es-CL"/>
        </w:rPr>
        <w:t>cabo en dos municipios represen</w:t>
      </w:r>
      <w:r w:rsidRPr="00F86305">
        <w:rPr>
          <w:color w:val="221E1F"/>
          <w:sz w:val="24"/>
          <w:lang w:val="es-CO" w:eastAsia="es-CL"/>
        </w:rPr>
        <w:t xml:space="preserve">tativos de la producción de maíz en el departamento del Atlántico (Santa Lucía y Suan) y en dos municipios del departamento del Magdalena con las mismas características de representatividad en la producción de maíz (Fundación </w:t>
      </w:r>
      <w:r w:rsidR="00F7753E">
        <w:rPr>
          <w:color w:val="221E1F"/>
          <w:sz w:val="24"/>
          <w:lang w:val="es-CO" w:eastAsia="es-CL"/>
        </w:rPr>
        <w:t>y</w:t>
      </w:r>
      <w:r w:rsidRPr="00F86305">
        <w:rPr>
          <w:color w:val="221E1F"/>
          <w:sz w:val="24"/>
          <w:lang w:val="es-CO" w:eastAsia="es-CL"/>
        </w:rPr>
        <w:t xml:space="preserve"> Pivijay). Ambos departamentos están ubicados en la región Caribe colombiana (figura 1).</w:t>
      </w:r>
    </w:p>
    <w:p w14:paraId="315155E4" w14:textId="77777777" w:rsidR="00B624F9" w:rsidRDefault="00B624F9" w:rsidP="00363F85">
      <w:pPr>
        <w:autoSpaceDE w:val="0"/>
        <w:autoSpaceDN w:val="0"/>
        <w:adjustRightInd w:val="0"/>
        <w:spacing w:line="480" w:lineRule="auto"/>
        <w:rPr>
          <w:color w:val="221E1F"/>
          <w:sz w:val="24"/>
          <w:lang w:val="es-CO" w:eastAsia="es-CL"/>
        </w:rPr>
      </w:pPr>
    </w:p>
    <w:p w14:paraId="1858E033" w14:textId="77777777" w:rsidR="00B624F9" w:rsidRPr="00F86305" w:rsidRDefault="00B624F9" w:rsidP="00B624F9">
      <w:pPr>
        <w:autoSpaceDE w:val="0"/>
        <w:autoSpaceDN w:val="0"/>
        <w:adjustRightInd w:val="0"/>
        <w:spacing w:line="480" w:lineRule="auto"/>
        <w:jc w:val="center"/>
        <w:rPr>
          <w:sz w:val="24"/>
          <w:lang w:val="es-CO"/>
        </w:rPr>
      </w:pPr>
      <w:r w:rsidRPr="00F86305">
        <w:rPr>
          <w:noProof/>
          <w:sz w:val="24"/>
          <w:lang w:val="es-CO" w:eastAsia="es-CO"/>
        </w:rPr>
        <w:drawing>
          <wp:inline distT="0" distB="0" distL="0" distR="0" wp14:anchorId="4FACC7AA" wp14:editId="32749B3A">
            <wp:extent cx="3308284" cy="3862388"/>
            <wp:effectExtent l="0" t="0" r="6985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2408" t="3171" r="3740" b="1574"/>
                    <a:stretch/>
                  </pic:blipFill>
                  <pic:spPr bwMode="auto">
                    <a:xfrm>
                      <a:off x="0" y="0"/>
                      <a:ext cx="3349410" cy="3910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9DCC3C" w14:textId="77777777" w:rsidR="00B624F9" w:rsidRPr="00F86305" w:rsidRDefault="00B624F9" w:rsidP="00B624F9">
      <w:pPr>
        <w:spacing w:line="480" w:lineRule="auto"/>
        <w:rPr>
          <w:sz w:val="24"/>
          <w:lang w:val="es-CO"/>
        </w:rPr>
      </w:pPr>
      <w:r w:rsidRPr="00F86305">
        <w:rPr>
          <w:b/>
          <w:sz w:val="24"/>
          <w:lang w:val="es-CO"/>
        </w:rPr>
        <w:t>Figura 1.</w:t>
      </w:r>
      <w:r w:rsidRPr="00F86305">
        <w:rPr>
          <w:sz w:val="24"/>
          <w:lang w:val="es-CO"/>
        </w:rPr>
        <w:t xml:space="preserve"> Ubicación de los departamentos Atlántico y Magdalena (Colombia)</w:t>
      </w:r>
    </w:p>
    <w:p w14:paraId="54B0ED1E" w14:textId="77777777" w:rsidR="00B624F9" w:rsidRPr="00F86305" w:rsidRDefault="00B624F9" w:rsidP="00B624F9">
      <w:pPr>
        <w:spacing w:line="480" w:lineRule="auto"/>
        <w:rPr>
          <w:b/>
          <w:sz w:val="24"/>
          <w:lang w:val="es-CO"/>
        </w:rPr>
      </w:pPr>
      <w:r w:rsidRPr="00F86305">
        <w:rPr>
          <w:sz w:val="24"/>
          <w:lang w:val="es-CO"/>
        </w:rPr>
        <w:t>Fuente: Elaboración propia</w:t>
      </w:r>
    </w:p>
    <w:p w14:paraId="22857124" w14:textId="77777777" w:rsidR="007E5326" w:rsidRPr="00F86305" w:rsidRDefault="007E5326" w:rsidP="00363F85">
      <w:pPr>
        <w:autoSpaceDE w:val="0"/>
        <w:autoSpaceDN w:val="0"/>
        <w:adjustRightInd w:val="0"/>
        <w:spacing w:line="480" w:lineRule="auto"/>
        <w:rPr>
          <w:color w:val="221E1F"/>
          <w:sz w:val="24"/>
          <w:lang w:val="es-CO" w:eastAsia="es-CL"/>
        </w:rPr>
      </w:pPr>
    </w:p>
    <w:p w14:paraId="7452325D" w14:textId="77777777" w:rsidR="00824B98" w:rsidRPr="00F86305" w:rsidRDefault="00824B98" w:rsidP="007E5326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  <w:r w:rsidRPr="00F86305">
        <w:rPr>
          <w:b/>
          <w:bCs/>
          <w:color w:val="221E1F"/>
          <w:sz w:val="24"/>
          <w:lang w:val="es-CO" w:eastAsia="es-CL"/>
        </w:rPr>
        <w:t>Resultados y discusión</w:t>
      </w:r>
    </w:p>
    <w:p w14:paraId="10631425" w14:textId="77777777" w:rsidR="00534D12" w:rsidRPr="00F86305" w:rsidRDefault="00534D12" w:rsidP="00363F85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221E1F"/>
          <w:sz w:val="24"/>
          <w:lang w:val="es-CO" w:eastAsia="es-CL"/>
        </w:rPr>
      </w:pPr>
    </w:p>
    <w:p w14:paraId="44089ABF" w14:textId="77777777" w:rsidR="005C75E5" w:rsidRPr="00F86305" w:rsidRDefault="005C75E5" w:rsidP="00363F85">
      <w:pPr>
        <w:autoSpaceDE w:val="0"/>
        <w:autoSpaceDN w:val="0"/>
        <w:adjustRightInd w:val="0"/>
        <w:spacing w:line="480" w:lineRule="auto"/>
        <w:rPr>
          <w:b/>
          <w:noProof/>
          <w:sz w:val="24"/>
          <w:lang w:val="es-CO"/>
        </w:rPr>
      </w:pPr>
      <w:r w:rsidRPr="00F86305">
        <w:rPr>
          <w:b/>
          <w:noProof/>
          <w:sz w:val="24"/>
          <w:lang w:val="es-CO"/>
        </w:rPr>
        <w:t xml:space="preserve">Análisis descriptivo de la población de estudio en los departamentos del Atlántico y el Magdalena </w:t>
      </w:r>
    </w:p>
    <w:p w14:paraId="192559EC" w14:textId="77777777" w:rsidR="0033393D" w:rsidRDefault="006930F0" w:rsidP="006930F0">
      <w:pPr>
        <w:autoSpaceDE w:val="0"/>
        <w:autoSpaceDN w:val="0"/>
        <w:adjustRightInd w:val="0"/>
        <w:spacing w:line="480" w:lineRule="auto"/>
        <w:rPr>
          <w:noProof/>
          <w:sz w:val="24"/>
          <w:lang w:val="es-CO"/>
        </w:rPr>
      </w:pPr>
      <w:r>
        <w:rPr>
          <w:noProof/>
          <w:sz w:val="24"/>
          <w:lang w:val="es-CO"/>
        </w:rPr>
        <w:t>Se aplicó un formulario</w:t>
      </w:r>
      <w:r w:rsidRPr="006930F0">
        <w:rPr>
          <w:noProof/>
          <w:sz w:val="24"/>
          <w:lang w:val="es-CO"/>
        </w:rPr>
        <w:t xml:space="preserve"> estructurado </w:t>
      </w:r>
      <w:r>
        <w:rPr>
          <w:noProof/>
          <w:sz w:val="24"/>
          <w:lang w:val="es-CO"/>
        </w:rPr>
        <w:t xml:space="preserve">para caracterizar tres </w:t>
      </w:r>
      <w:r w:rsidRPr="006930F0">
        <w:rPr>
          <w:noProof/>
          <w:sz w:val="24"/>
          <w:lang w:val="es-CO"/>
        </w:rPr>
        <w:t>dimensiones</w:t>
      </w:r>
      <w:r>
        <w:rPr>
          <w:noProof/>
          <w:sz w:val="24"/>
          <w:lang w:val="es-CO"/>
        </w:rPr>
        <w:t xml:space="preserve"> del productor: (1) social,</w:t>
      </w:r>
      <w:r w:rsidRPr="006930F0">
        <w:rPr>
          <w:noProof/>
          <w:sz w:val="24"/>
          <w:lang w:val="es-CO"/>
        </w:rPr>
        <w:t xml:space="preserve"> (2) económica y (3) ambiental, </w:t>
      </w:r>
      <w:r>
        <w:rPr>
          <w:noProof/>
          <w:sz w:val="24"/>
          <w:lang w:val="es-CO"/>
        </w:rPr>
        <w:t>relacionadas con la utilización</w:t>
      </w:r>
      <w:r w:rsidRPr="006930F0">
        <w:rPr>
          <w:noProof/>
          <w:sz w:val="24"/>
          <w:lang w:val="es-CO"/>
        </w:rPr>
        <w:t xml:space="preserve"> de</w:t>
      </w:r>
      <w:r>
        <w:rPr>
          <w:noProof/>
          <w:sz w:val="24"/>
          <w:lang w:val="es-CO"/>
        </w:rPr>
        <w:t xml:space="preserve"> prácticas agrícolas (tabla </w:t>
      </w:r>
      <w:r w:rsidRPr="006930F0">
        <w:rPr>
          <w:noProof/>
          <w:sz w:val="24"/>
          <w:lang w:val="es-CO"/>
        </w:rPr>
        <w:t>1).</w:t>
      </w:r>
    </w:p>
    <w:p w14:paraId="48F75F9E" w14:textId="77777777" w:rsidR="006930F0" w:rsidRDefault="006930F0" w:rsidP="006930F0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</w:p>
    <w:p w14:paraId="551C02AB" w14:textId="77777777" w:rsidR="006930F0" w:rsidRPr="00F86305" w:rsidRDefault="006930F0" w:rsidP="006930F0">
      <w:pPr>
        <w:autoSpaceDE w:val="0"/>
        <w:autoSpaceDN w:val="0"/>
        <w:adjustRightInd w:val="0"/>
        <w:spacing w:line="480" w:lineRule="auto"/>
        <w:rPr>
          <w:color w:val="221E1F"/>
          <w:sz w:val="24"/>
          <w:lang w:val="es-CO" w:eastAsia="es-CL"/>
        </w:rPr>
      </w:pPr>
      <w:r w:rsidRPr="00F86305">
        <w:rPr>
          <w:b/>
          <w:bCs/>
          <w:color w:val="221E1F"/>
          <w:sz w:val="24"/>
          <w:lang w:val="es-CO" w:eastAsia="es-CL"/>
        </w:rPr>
        <w:t xml:space="preserve">Tabla 1. </w:t>
      </w:r>
      <w:r w:rsidRPr="00F86305">
        <w:rPr>
          <w:color w:val="221E1F"/>
          <w:sz w:val="24"/>
          <w:lang w:val="es-CO" w:eastAsia="es-CL"/>
        </w:rPr>
        <w:t xml:space="preserve">Atributos de estudio y tipo de información obtenida </w:t>
      </w:r>
    </w:p>
    <w:tbl>
      <w:tblPr>
        <w:tblStyle w:val="Cuadrculadetablaclara1"/>
        <w:tblW w:w="5056" w:type="pct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3"/>
        <w:gridCol w:w="3145"/>
        <w:gridCol w:w="4221"/>
      </w:tblGrid>
      <w:tr w:rsidR="006930F0" w:rsidRPr="00F86305" w14:paraId="65023D3A" w14:textId="77777777" w:rsidTr="00484654"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E9F44E5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b/>
                <w:sz w:val="24"/>
                <w:lang w:val="es-CO"/>
              </w:rPr>
              <w:t>Dimensión</w:t>
            </w:r>
          </w:p>
        </w:tc>
        <w:tc>
          <w:tcPr>
            <w:tcW w:w="1759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F22D8D0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b/>
                <w:sz w:val="24"/>
                <w:lang w:val="es-CO"/>
              </w:rPr>
              <w:t>Atributo</w:t>
            </w:r>
          </w:p>
        </w:tc>
        <w:tc>
          <w:tcPr>
            <w:tcW w:w="2361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6E4724F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b/>
                <w:sz w:val="24"/>
                <w:lang w:val="es-CO"/>
              </w:rPr>
              <w:t>Tipo de información</w:t>
            </w:r>
          </w:p>
        </w:tc>
      </w:tr>
      <w:tr w:rsidR="006930F0" w:rsidRPr="00F86305" w14:paraId="72DF0334" w14:textId="77777777" w:rsidTr="00484654">
        <w:tc>
          <w:tcPr>
            <w:tcW w:w="880" w:type="pct"/>
            <w:vMerge w:val="restart"/>
            <w:tcBorders>
              <w:top w:val="single" w:sz="4" w:space="0" w:color="auto"/>
            </w:tcBorders>
            <w:vAlign w:val="center"/>
          </w:tcPr>
          <w:p w14:paraId="21F3D5EE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sz w:val="24"/>
                <w:lang w:val="es-CO"/>
              </w:rPr>
              <w:t>Social</w:t>
            </w:r>
          </w:p>
        </w:tc>
        <w:tc>
          <w:tcPr>
            <w:tcW w:w="1759" w:type="pct"/>
            <w:tcBorders>
              <w:top w:val="single" w:sz="4" w:space="0" w:color="auto"/>
            </w:tcBorders>
          </w:tcPr>
          <w:p w14:paraId="2262C89B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sz w:val="24"/>
                <w:lang w:val="es-CO"/>
              </w:rPr>
              <w:t>Género</w:t>
            </w:r>
          </w:p>
        </w:tc>
        <w:tc>
          <w:tcPr>
            <w:tcW w:w="2361" w:type="pct"/>
            <w:tcBorders>
              <w:top w:val="single" w:sz="4" w:space="0" w:color="auto"/>
            </w:tcBorders>
          </w:tcPr>
          <w:p w14:paraId="42B69E2D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sz w:val="24"/>
                <w:lang w:val="es-CO"/>
              </w:rPr>
              <w:t>Dicotómica (Masculino/Femenino)</w:t>
            </w:r>
          </w:p>
        </w:tc>
      </w:tr>
      <w:tr w:rsidR="006930F0" w:rsidRPr="00F86305" w14:paraId="2908CB5F" w14:textId="77777777" w:rsidTr="00484654">
        <w:tc>
          <w:tcPr>
            <w:tcW w:w="880" w:type="pct"/>
            <w:vMerge/>
            <w:tcBorders>
              <w:top w:val="nil"/>
            </w:tcBorders>
          </w:tcPr>
          <w:p w14:paraId="708AE071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</w:p>
        </w:tc>
        <w:tc>
          <w:tcPr>
            <w:tcW w:w="1759" w:type="pct"/>
            <w:tcBorders>
              <w:top w:val="nil"/>
            </w:tcBorders>
          </w:tcPr>
          <w:p w14:paraId="1AD14750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sz w:val="24"/>
                <w:lang w:val="es-CO"/>
              </w:rPr>
              <w:t>Edad (años)</w:t>
            </w:r>
          </w:p>
        </w:tc>
        <w:tc>
          <w:tcPr>
            <w:tcW w:w="2361" w:type="pct"/>
            <w:tcBorders>
              <w:top w:val="nil"/>
            </w:tcBorders>
          </w:tcPr>
          <w:p w14:paraId="69A99011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sz w:val="24"/>
                <w:lang w:val="es-CO"/>
              </w:rPr>
              <w:t>Cuantitativa (Continua)</w:t>
            </w:r>
          </w:p>
        </w:tc>
      </w:tr>
      <w:tr w:rsidR="006930F0" w:rsidRPr="00AC3CEB" w14:paraId="253C4821" w14:textId="77777777" w:rsidTr="00484654">
        <w:tc>
          <w:tcPr>
            <w:tcW w:w="880" w:type="pct"/>
            <w:vMerge/>
            <w:tcBorders>
              <w:top w:val="nil"/>
            </w:tcBorders>
          </w:tcPr>
          <w:p w14:paraId="516EC444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</w:p>
        </w:tc>
        <w:tc>
          <w:tcPr>
            <w:tcW w:w="1759" w:type="pct"/>
            <w:tcBorders>
              <w:top w:val="nil"/>
            </w:tcBorders>
          </w:tcPr>
          <w:p w14:paraId="216C4CDB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sz w:val="24"/>
                <w:lang w:val="es-CO"/>
              </w:rPr>
              <w:t>Escolaridad (años)</w:t>
            </w:r>
          </w:p>
        </w:tc>
        <w:tc>
          <w:tcPr>
            <w:tcW w:w="2361" w:type="pct"/>
            <w:tcBorders>
              <w:top w:val="nil"/>
            </w:tcBorders>
          </w:tcPr>
          <w:p w14:paraId="52CD3377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sz w:val="24"/>
                <w:lang w:val="es-CO"/>
              </w:rPr>
              <w:t>Categórica (Ninguna, Primaria, Secundaria, Superior)</w:t>
            </w:r>
          </w:p>
        </w:tc>
      </w:tr>
      <w:tr w:rsidR="006930F0" w:rsidRPr="00AC3CEB" w14:paraId="78E87151" w14:textId="77777777" w:rsidTr="00484654">
        <w:tc>
          <w:tcPr>
            <w:tcW w:w="880" w:type="pct"/>
            <w:vMerge/>
            <w:tcBorders>
              <w:top w:val="nil"/>
              <w:bottom w:val="single" w:sz="4" w:space="0" w:color="auto"/>
            </w:tcBorders>
          </w:tcPr>
          <w:p w14:paraId="14A7E30C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</w:p>
        </w:tc>
        <w:tc>
          <w:tcPr>
            <w:tcW w:w="1759" w:type="pct"/>
            <w:tcBorders>
              <w:top w:val="nil"/>
              <w:bottom w:val="single" w:sz="4" w:space="0" w:color="auto"/>
            </w:tcBorders>
          </w:tcPr>
          <w:p w14:paraId="07BDFAA9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sz w:val="24"/>
                <w:lang w:val="es-CO"/>
              </w:rPr>
              <w:t>Tipo de tenencia</w:t>
            </w:r>
          </w:p>
        </w:tc>
        <w:tc>
          <w:tcPr>
            <w:tcW w:w="2361" w:type="pct"/>
            <w:tcBorders>
              <w:top w:val="nil"/>
              <w:bottom w:val="single" w:sz="4" w:space="0" w:color="auto"/>
            </w:tcBorders>
          </w:tcPr>
          <w:p w14:paraId="1E45DAD2" w14:textId="77777777" w:rsidR="006930F0" w:rsidRPr="00F86305" w:rsidRDefault="006930F0" w:rsidP="00D314B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lang w:val="es-CO"/>
              </w:rPr>
            </w:pPr>
            <w:r w:rsidRPr="00F86305">
              <w:rPr>
                <w:rFonts w:ascii="Times New Roman" w:hAnsi="Times New Roman" w:cs="Times New Roman"/>
                <w:sz w:val="24"/>
                <w:lang w:val="es-CO"/>
              </w:rPr>
              <w:t>Categórica (Comodato, Ejidal, Comunal, Privada, Rentada)</w:t>
            </w:r>
          </w:p>
        </w:tc>
      </w:tr>
    </w:tbl>
    <w:p w14:paraId="08503820" w14:textId="77777777" w:rsidR="006930F0" w:rsidRPr="00F86305" w:rsidRDefault="006930F0" w:rsidP="006930F0">
      <w:pPr>
        <w:autoSpaceDE w:val="0"/>
        <w:autoSpaceDN w:val="0"/>
        <w:adjustRightInd w:val="0"/>
        <w:spacing w:line="480" w:lineRule="auto"/>
        <w:rPr>
          <w:rStyle w:val="A2"/>
          <w:rFonts w:cs="Times New Roman"/>
          <w:sz w:val="24"/>
          <w:szCs w:val="24"/>
          <w:lang w:val="es-CO"/>
        </w:rPr>
      </w:pPr>
      <w:r w:rsidRPr="00F86305">
        <w:rPr>
          <w:rStyle w:val="A2"/>
          <w:rFonts w:cs="Times New Roman"/>
          <w:sz w:val="24"/>
          <w:szCs w:val="24"/>
          <w:lang w:val="es-CO"/>
        </w:rPr>
        <w:t>Fuente: Elaboración propia</w:t>
      </w:r>
    </w:p>
    <w:p w14:paraId="0885D54E" w14:textId="77777777" w:rsidR="006930F0" w:rsidRPr="00F86305" w:rsidRDefault="006930F0" w:rsidP="006930F0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</w:p>
    <w:p w14:paraId="1154D539" w14:textId="77777777" w:rsidR="00824B98" w:rsidRDefault="00824B98" w:rsidP="002F3C37">
      <w:pPr>
        <w:tabs>
          <w:tab w:val="center" w:pos="4420"/>
        </w:tabs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  <w:r w:rsidRPr="00F86305">
        <w:rPr>
          <w:b/>
          <w:bCs/>
          <w:color w:val="221E1F"/>
          <w:sz w:val="24"/>
          <w:lang w:val="es-CO" w:eastAsia="es-CL"/>
        </w:rPr>
        <w:t>Conclusiones</w:t>
      </w:r>
    </w:p>
    <w:p w14:paraId="7E84B4E9" w14:textId="77777777" w:rsidR="002F3C37" w:rsidRPr="00F86305" w:rsidRDefault="002F3C37" w:rsidP="002F3C37">
      <w:pPr>
        <w:tabs>
          <w:tab w:val="center" w:pos="4420"/>
        </w:tabs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</w:p>
    <w:p w14:paraId="441D3A3E" w14:textId="77777777" w:rsidR="00824B98" w:rsidRPr="00F86305" w:rsidRDefault="005C75E5" w:rsidP="00363F85">
      <w:pPr>
        <w:spacing w:line="480" w:lineRule="auto"/>
        <w:rPr>
          <w:color w:val="221E1F"/>
          <w:sz w:val="24"/>
          <w:lang w:val="es-CO" w:eastAsia="es-CL"/>
        </w:rPr>
      </w:pPr>
      <w:r w:rsidRPr="00F86305">
        <w:rPr>
          <w:color w:val="221E1F"/>
          <w:sz w:val="24"/>
          <w:lang w:val="es-CO" w:eastAsia="es-CL"/>
        </w:rPr>
        <w:t>El análisis comparado establece que las dinámicas de producción de maíz en el Atlántico y el Magdalena son similares. Sin embargo, hay matices relevantes que son clave a la hora de estimular diferentes estrategias que favorezcan el cultivo de maíz en la región Caribe colombiana.</w:t>
      </w:r>
    </w:p>
    <w:p w14:paraId="30503012" w14:textId="77777777" w:rsidR="007E5326" w:rsidRPr="00F86305" w:rsidRDefault="007E5326" w:rsidP="00363F85">
      <w:pPr>
        <w:spacing w:line="480" w:lineRule="auto"/>
        <w:rPr>
          <w:sz w:val="24"/>
          <w:lang w:val="es-CO"/>
        </w:rPr>
      </w:pPr>
    </w:p>
    <w:p w14:paraId="52FD1E82" w14:textId="77777777" w:rsidR="00E639AC" w:rsidRPr="00F3431D" w:rsidRDefault="00824B98" w:rsidP="00E639AC">
      <w:pPr>
        <w:spacing w:line="240" w:lineRule="auto"/>
        <w:rPr>
          <w:b/>
          <w:bCs/>
          <w:sz w:val="24"/>
          <w:lang w:val="es-CO"/>
        </w:rPr>
      </w:pPr>
      <w:r w:rsidRPr="00F86305">
        <w:rPr>
          <w:b/>
          <w:bCs/>
          <w:color w:val="221E1F"/>
          <w:sz w:val="24"/>
          <w:lang w:val="es-CO" w:eastAsia="es-CL"/>
        </w:rPr>
        <w:t>Agradecimientos</w:t>
      </w:r>
      <w:r w:rsidR="00E639AC">
        <w:rPr>
          <w:b/>
          <w:bCs/>
          <w:color w:val="221E1F"/>
          <w:sz w:val="24"/>
          <w:lang w:val="es-CO" w:eastAsia="es-CL"/>
        </w:rPr>
        <w:t xml:space="preserve"> </w:t>
      </w:r>
      <w:r w:rsidR="00E639AC" w:rsidRPr="00F3431D">
        <w:rPr>
          <w:b/>
          <w:bCs/>
          <w:sz w:val="24"/>
          <w:lang w:val="es-CO"/>
        </w:rPr>
        <w:t>(Opcional)</w:t>
      </w:r>
    </w:p>
    <w:p w14:paraId="2E3A2614" w14:textId="77777777" w:rsidR="00A558D5" w:rsidRPr="00F86305" w:rsidRDefault="00A558D5" w:rsidP="00E639AC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</w:p>
    <w:p w14:paraId="07D3A263" w14:textId="77777777" w:rsidR="00A9099C" w:rsidRPr="00F86305" w:rsidRDefault="005C75E5" w:rsidP="00363F85">
      <w:pPr>
        <w:autoSpaceDE w:val="0"/>
        <w:autoSpaceDN w:val="0"/>
        <w:adjustRightInd w:val="0"/>
        <w:spacing w:line="480" w:lineRule="auto"/>
        <w:rPr>
          <w:color w:val="221E1F"/>
          <w:sz w:val="24"/>
          <w:lang w:val="es-CO" w:eastAsia="es-CL"/>
        </w:rPr>
      </w:pPr>
      <w:r w:rsidRPr="00F86305">
        <w:rPr>
          <w:color w:val="221E1F"/>
          <w:sz w:val="24"/>
          <w:lang w:val="es-CO" w:eastAsia="es-CL"/>
        </w:rPr>
        <w:t>Los autores agradecen a la Corporación Colombiana de Investigación Agropecuaria (Corpoica) por la financiación del estudio. También agradecen a las Gobernaciones del Atlántico y del Magdalena por la disponibilidad en el acompañamiento del trabajo en campo.</w:t>
      </w:r>
      <w:r w:rsidR="007834B7">
        <w:rPr>
          <w:color w:val="221E1F"/>
          <w:sz w:val="24"/>
          <w:lang w:val="es-CO" w:eastAsia="es-CL"/>
        </w:rPr>
        <w:t xml:space="preserve"> </w:t>
      </w:r>
      <w:r w:rsidR="007834B7">
        <w:rPr>
          <w:color w:val="221E1F"/>
          <w:sz w:val="24"/>
          <w:lang w:val="es-CO" w:eastAsia="es-CL"/>
        </w:rPr>
        <w:lastRenderedPageBreak/>
        <w:t xml:space="preserve">Agradecen también a los revisores pares y a los editores de esta </w:t>
      </w:r>
      <w:proofErr w:type="spellStart"/>
      <w:r w:rsidR="007834B7">
        <w:rPr>
          <w:color w:val="221E1F"/>
          <w:sz w:val="24"/>
          <w:lang w:val="es-CO" w:eastAsia="es-CL"/>
        </w:rPr>
        <w:t>revist</w:t>
      </w:r>
      <w:proofErr w:type="spellEnd"/>
      <w:r w:rsidR="007834B7">
        <w:rPr>
          <w:color w:val="221E1F"/>
          <w:sz w:val="24"/>
          <w:lang w:val="es-CO" w:eastAsia="es-CL"/>
        </w:rPr>
        <w:t xml:space="preserve"> por sus comentarios, que </w:t>
      </w:r>
      <w:r w:rsidR="007834B7" w:rsidRPr="007834B7">
        <w:rPr>
          <w:color w:val="221E1F"/>
          <w:sz w:val="24"/>
          <w:lang w:val="es-CO" w:eastAsia="es-CL"/>
        </w:rPr>
        <w:t>ay</w:t>
      </w:r>
      <w:r w:rsidR="007834B7">
        <w:rPr>
          <w:color w:val="221E1F"/>
          <w:sz w:val="24"/>
          <w:lang w:val="es-CO" w:eastAsia="es-CL"/>
        </w:rPr>
        <w:t xml:space="preserve">udaron a mejorar este </w:t>
      </w:r>
      <w:r w:rsidR="007834B7" w:rsidRPr="007834B7">
        <w:rPr>
          <w:color w:val="221E1F"/>
          <w:sz w:val="24"/>
          <w:lang w:val="es-CO" w:eastAsia="es-CL"/>
        </w:rPr>
        <w:t>trabajo.</w:t>
      </w:r>
    </w:p>
    <w:p w14:paraId="4870CF7D" w14:textId="77777777" w:rsidR="00F3431D" w:rsidRPr="00F3431D" w:rsidRDefault="00F3431D" w:rsidP="00F3431D">
      <w:pPr>
        <w:spacing w:line="240" w:lineRule="auto"/>
        <w:rPr>
          <w:b/>
          <w:bCs/>
          <w:sz w:val="24"/>
          <w:lang w:val="es-CO"/>
        </w:rPr>
      </w:pPr>
    </w:p>
    <w:p w14:paraId="2C419841" w14:textId="108E9182" w:rsidR="00F3431D" w:rsidRPr="00F3431D" w:rsidRDefault="00F3431D" w:rsidP="00F3431D">
      <w:pPr>
        <w:spacing w:line="240" w:lineRule="auto"/>
        <w:rPr>
          <w:b/>
          <w:bCs/>
          <w:sz w:val="24"/>
          <w:lang w:val="es-CO"/>
        </w:rPr>
      </w:pPr>
      <w:commentRangeStart w:id="6"/>
      <w:r w:rsidRPr="00F3431D">
        <w:rPr>
          <w:b/>
          <w:bCs/>
          <w:sz w:val="24"/>
          <w:lang w:val="es-CO"/>
        </w:rPr>
        <w:t>Contribución de los autores</w:t>
      </w:r>
      <w:commentRangeEnd w:id="6"/>
      <w:r w:rsidR="00C064F9">
        <w:rPr>
          <w:rStyle w:val="Refdecomentario"/>
        </w:rPr>
        <w:commentReference w:id="6"/>
      </w:r>
    </w:p>
    <w:p w14:paraId="6B7AB094" w14:textId="77777777" w:rsidR="00F3431D" w:rsidRPr="007F387D" w:rsidRDefault="00F3431D" w:rsidP="00F3431D">
      <w:pPr>
        <w:spacing w:line="240" w:lineRule="auto"/>
        <w:rPr>
          <w:rFonts w:ascii="Garamond" w:hAnsi="Garamond"/>
          <w:b/>
          <w:bCs/>
          <w:sz w:val="28"/>
          <w:szCs w:val="28"/>
          <w:lang w:val="es-CO"/>
        </w:rPr>
      </w:pPr>
    </w:p>
    <w:p w14:paraId="5CD51C18" w14:textId="77777777" w:rsidR="00F3431D" w:rsidRPr="00F3431D" w:rsidRDefault="00F3431D" w:rsidP="00F3431D">
      <w:pPr>
        <w:spacing w:line="480" w:lineRule="auto"/>
        <w:rPr>
          <w:color w:val="221E1F"/>
          <w:sz w:val="24"/>
          <w:lang w:val="es-CO" w:eastAsia="es-CL"/>
        </w:rPr>
      </w:pPr>
      <w:r w:rsidRPr="00F3431D">
        <w:rPr>
          <w:color w:val="221E1F"/>
          <w:sz w:val="24"/>
          <w:lang w:val="es-CO" w:eastAsia="es-CL"/>
        </w:rPr>
        <w:t xml:space="preserve">Pablo Mauricio Vázquez: definición de variables a analizar, construcción y análisis del sistema de información geográfico, análisis estadísticos, interpretación de datos y escritura. María del Carmen Rojas: análisis estadístico, construcción de las gráficas y figuras, escritura y revisión del artículo. Ezequiel Fernandez: adecuación y depuración de la base de datos histórica de existencias ganaderas provinciales y revisión del artículo, Ana Clara González: Adquisición de fotografías, definición de variables a analizar y revisión del artículo. </w:t>
      </w:r>
    </w:p>
    <w:p w14:paraId="7F769510" w14:textId="77777777" w:rsidR="00F3431D" w:rsidRPr="00F3431D" w:rsidRDefault="00F3431D" w:rsidP="00F3431D">
      <w:pPr>
        <w:spacing w:line="480" w:lineRule="auto"/>
        <w:rPr>
          <w:color w:val="221E1F"/>
          <w:sz w:val="24"/>
          <w:lang w:val="es-CO" w:eastAsia="es-CL"/>
        </w:rPr>
      </w:pPr>
    </w:p>
    <w:p w14:paraId="0549E62B" w14:textId="623E2AB6" w:rsidR="00F3431D" w:rsidRPr="00F3431D" w:rsidRDefault="00F3431D" w:rsidP="00F3431D">
      <w:pPr>
        <w:spacing w:line="480" w:lineRule="auto"/>
        <w:rPr>
          <w:b/>
          <w:bCs/>
          <w:color w:val="221E1F"/>
          <w:sz w:val="24"/>
          <w:lang w:val="es-CO" w:eastAsia="es-CL"/>
        </w:rPr>
      </w:pPr>
      <w:commentRangeStart w:id="7"/>
      <w:r w:rsidRPr="00F3431D">
        <w:rPr>
          <w:b/>
          <w:bCs/>
          <w:color w:val="221E1F"/>
          <w:sz w:val="24"/>
          <w:lang w:val="es-CO" w:eastAsia="es-CL"/>
        </w:rPr>
        <w:t>Implicaciones éticas</w:t>
      </w:r>
      <w:commentRangeEnd w:id="7"/>
      <w:r w:rsidR="00A55EBC">
        <w:rPr>
          <w:rStyle w:val="Refdecomentario"/>
        </w:rPr>
        <w:commentReference w:id="7"/>
      </w:r>
    </w:p>
    <w:p w14:paraId="7F0FAD54" w14:textId="77777777" w:rsidR="00F3431D" w:rsidRPr="00F3431D" w:rsidRDefault="00F3431D" w:rsidP="00F3431D">
      <w:pPr>
        <w:spacing w:line="480" w:lineRule="auto"/>
        <w:rPr>
          <w:color w:val="221E1F"/>
          <w:sz w:val="24"/>
          <w:lang w:val="es-CO" w:eastAsia="es-CL"/>
        </w:rPr>
      </w:pPr>
      <w:r w:rsidRPr="00F3431D">
        <w:rPr>
          <w:color w:val="221E1F"/>
          <w:sz w:val="24"/>
          <w:lang w:val="es-CO" w:eastAsia="es-CL"/>
        </w:rPr>
        <w:t>No existen implicaciones éticas.</w:t>
      </w:r>
    </w:p>
    <w:p w14:paraId="254CE35C" w14:textId="77777777" w:rsidR="00F3431D" w:rsidRPr="00F3431D" w:rsidRDefault="00F3431D" w:rsidP="00F3431D">
      <w:pPr>
        <w:spacing w:line="480" w:lineRule="auto"/>
        <w:rPr>
          <w:color w:val="221E1F"/>
          <w:sz w:val="24"/>
          <w:lang w:val="es-CO" w:eastAsia="es-CL"/>
        </w:rPr>
      </w:pPr>
    </w:p>
    <w:p w14:paraId="4DC0DDFE" w14:textId="05F970A5" w:rsidR="00F3431D" w:rsidRPr="00F3431D" w:rsidRDefault="00F3431D" w:rsidP="00F3431D">
      <w:pPr>
        <w:spacing w:line="480" w:lineRule="auto"/>
        <w:rPr>
          <w:b/>
          <w:bCs/>
          <w:color w:val="221E1F"/>
          <w:sz w:val="24"/>
          <w:lang w:val="es-CO" w:eastAsia="es-CL"/>
        </w:rPr>
      </w:pPr>
      <w:commentRangeStart w:id="8"/>
      <w:r w:rsidRPr="00F3431D">
        <w:rPr>
          <w:b/>
          <w:bCs/>
          <w:color w:val="221E1F"/>
          <w:sz w:val="24"/>
          <w:lang w:val="es-CO" w:eastAsia="es-CL"/>
        </w:rPr>
        <w:t xml:space="preserve">Conflicto de interés </w:t>
      </w:r>
      <w:commentRangeEnd w:id="8"/>
      <w:r w:rsidR="00A81448">
        <w:rPr>
          <w:rStyle w:val="Refdecomentario"/>
        </w:rPr>
        <w:commentReference w:id="8"/>
      </w:r>
    </w:p>
    <w:p w14:paraId="7B112D0A" w14:textId="77777777" w:rsidR="00F3431D" w:rsidRPr="00F3431D" w:rsidRDefault="00F3431D" w:rsidP="00F3431D">
      <w:pPr>
        <w:spacing w:line="480" w:lineRule="auto"/>
        <w:rPr>
          <w:color w:val="221E1F"/>
          <w:sz w:val="24"/>
          <w:lang w:val="es-CO" w:eastAsia="es-CL"/>
        </w:rPr>
      </w:pPr>
      <w:r w:rsidRPr="00F3431D">
        <w:rPr>
          <w:color w:val="221E1F"/>
          <w:sz w:val="24"/>
          <w:lang w:val="es-CO" w:eastAsia="es-CL"/>
        </w:rPr>
        <w:t>Los autores manifiestan que no existen conflictos de interés en este estudio.</w:t>
      </w:r>
    </w:p>
    <w:p w14:paraId="3CF0C772" w14:textId="77777777" w:rsidR="00F3431D" w:rsidRPr="00F3431D" w:rsidRDefault="00F3431D" w:rsidP="00F3431D">
      <w:pPr>
        <w:spacing w:line="480" w:lineRule="auto"/>
        <w:rPr>
          <w:color w:val="221E1F"/>
          <w:sz w:val="24"/>
          <w:lang w:val="es-CO" w:eastAsia="es-CL"/>
        </w:rPr>
      </w:pPr>
    </w:p>
    <w:p w14:paraId="0471F961" w14:textId="7C20366E" w:rsidR="00F3431D" w:rsidRPr="00F3431D" w:rsidRDefault="00F3431D" w:rsidP="00F3431D">
      <w:pPr>
        <w:spacing w:line="480" w:lineRule="auto"/>
        <w:rPr>
          <w:b/>
          <w:bCs/>
          <w:color w:val="221E1F"/>
          <w:sz w:val="24"/>
          <w:lang w:val="es-CO" w:eastAsia="es-CL"/>
        </w:rPr>
      </w:pPr>
      <w:commentRangeStart w:id="9"/>
      <w:r w:rsidRPr="00F3431D">
        <w:rPr>
          <w:b/>
          <w:bCs/>
          <w:color w:val="221E1F"/>
          <w:sz w:val="24"/>
          <w:lang w:val="es-CO" w:eastAsia="es-CL"/>
        </w:rPr>
        <w:t>Financiación</w:t>
      </w:r>
      <w:commentRangeEnd w:id="9"/>
      <w:r w:rsidR="00FD783B">
        <w:rPr>
          <w:rStyle w:val="Refdecomentario"/>
        </w:rPr>
        <w:commentReference w:id="9"/>
      </w:r>
    </w:p>
    <w:p w14:paraId="2378B7A3" w14:textId="77777777" w:rsidR="00F3431D" w:rsidRPr="00F3431D" w:rsidRDefault="00F3431D" w:rsidP="00F3431D">
      <w:pPr>
        <w:spacing w:line="480" w:lineRule="auto"/>
        <w:rPr>
          <w:color w:val="221E1F"/>
          <w:sz w:val="24"/>
          <w:lang w:val="es-CO" w:eastAsia="es-CL"/>
        </w:rPr>
      </w:pPr>
      <w:r w:rsidRPr="00F3431D">
        <w:rPr>
          <w:color w:val="221E1F"/>
          <w:sz w:val="24"/>
          <w:lang w:val="es-CO" w:eastAsia="es-CL"/>
        </w:rPr>
        <w:t>El trabajo fue realizado con recursos destinados a la investigación por el Instituto Nacional de Tecnología Agropecuaria INTA, Proyecto Estructural Eje 1_PI 001 Eficiencia y sostenibilidad en cría y recría vacuna y por el Servicio Nacional de Sanidad y Calidad Agroalimentaria SENASA.</w:t>
      </w:r>
    </w:p>
    <w:p w14:paraId="293505E6" w14:textId="7A8B4868" w:rsidR="00534D12" w:rsidRPr="00F3431D" w:rsidRDefault="00534D12" w:rsidP="00F3431D">
      <w:pPr>
        <w:spacing w:line="480" w:lineRule="auto"/>
        <w:rPr>
          <w:color w:val="221E1F"/>
          <w:sz w:val="24"/>
          <w:lang w:val="es-CO" w:eastAsia="es-CL"/>
        </w:rPr>
      </w:pPr>
    </w:p>
    <w:p w14:paraId="72300026" w14:textId="77777777" w:rsidR="00824B98" w:rsidRPr="00F86305" w:rsidRDefault="00D373F6" w:rsidP="007E5326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  <w:commentRangeStart w:id="10"/>
      <w:r w:rsidRPr="00F86305">
        <w:rPr>
          <w:b/>
          <w:bCs/>
          <w:color w:val="221E1F"/>
          <w:sz w:val="24"/>
          <w:lang w:val="es-CO" w:eastAsia="es-CL"/>
        </w:rPr>
        <w:lastRenderedPageBreak/>
        <w:t>Referencias</w:t>
      </w:r>
      <w:r w:rsidR="002F3C37">
        <w:rPr>
          <w:b/>
          <w:bCs/>
          <w:color w:val="221E1F"/>
          <w:sz w:val="24"/>
          <w:lang w:val="es-CO" w:eastAsia="es-CL"/>
        </w:rPr>
        <w:t xml:space="preserve"> </w:t>
      </w:r>
      <w:commentRangeEnd w:id="10"/>
      <w:r w:rsidR="002C6A7C">
        <w:rPr>
          <w:rStyle w:val="Refdecomentario"/>
        </w:rPr>
        <w:commentReference w:id="10"/>
      </w:r>
    </w:p>
    <w:p w14:paraId="3682A977" w14:textId="77777777" w:rsidR="00534D12" w:rsidRDefault="00534D12" w:rsidP="00B624F9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val="es-CO" w:eastAsia="es-CL"/>
        </w:rPr>
      </w:pPr>
    </w:p>
    <w:p w14:paraId="4DAC1737" w14:textId="1DA4BF32" w:rsidR="00B624F9" w:rsidRDefault="00B624F9" w:rsidP="00B624F9">
      <w:pPr>
        <w:autoSpaceDE w:val="0"/>
        <w:autoSpaceDN w:val="0"/>
        <w:adjustRightInd w:val="0"/>
        <w:spacing w:line="480" w:lineRule="auto"/>
        <w:rPr>
          <w:bCs/>
          <w:color w:val="221E1F"/>
          <w:sz w:val="24"/>
          <w:lang w:val="es-CO" w:eastAsia="es-CL"/>
        </w:rPr>
      </w:pPr>
      <w:r>
        <w:rPr>
          <w:bCs/>
          <w:color w:val="221E1F"/>
          <w:sz w:val="24"/>
          <w:lang w:val="es-CO" w:eastAsia="es-CL"/>
        </w:rPr>
        <w:t xml:space="preserve">Arnal, E., Ramos, F., Suárez, Z., &amp; González, E. (2006). Capturas del </w:t>
      </w:r>
      <w:r w:rsidRPr="00B624F9">
        <w:rPr>
          <w:bCs/>
          <w:color w:val="221E1F"/>
          <w:sz w:val="24"/>
          <w:lang w:val="es-CO" w:eastAsia="es-CL"/>
        </w:rPr>
        <w:t>pe</w:t>
      </w:r>
      <w:r>
        <w:rPr>
          <w:bCs/>
          <w:color w:val="221E1F"/>
          <w:sz w:val="24"/>
          <w:lang w:val="es-CO" w:eastAsia="es-CL"/>
        </w:rPr>
        <w:t xml:space="preserve">rforador del fruto del tomate mediante trampas con atrayente sexual sintético en </w:t>
      </w:r>
      <w:r w:rsidRPr="00B624F9">
        <w:rPr>
          <w:bCs/>
          <w:color w:val="221E1F"/>
          <w:sz w:val="24"/>
          <w:lang w:val="es-CO" w:eastAsia="es-CL"/>
        </w:rPr>
        <w:t>plantaciones</w:t>
      </w:r>
      <w:r>
        <w:rPr>
          <w:bCs/>
          <w:color w:val="221E1F"/>
          <w:sz w:val="24"/>
          <w:lang w:val="es-CO" w:eastAsia="es-CL"/>
        </w:rPr>
        <w:t xml:space="preserve"> de tomate </w:t>
      </w:r>
      <w:r w:rsidRPr="00B624F9">
        <w:rPr>
          <w:bCs/>
          <w:color w:val="221E1F"/>
          <w:sz w:val="24"/>
          <w:lang w:val="es-CO" w:eastAsia="es-CL"/>
        </w:rPr>
        <w:t xml:space="preserve">de árbol en Aragua y Miranda, Venezuela. </w:t>
      </w:r>
      <w:r w:rsidRPr="00B624F9">
        <w:rPr>
          <w:bCs/>
          <w:i/>
          <w:color w:val="221E1F"/>
          <w:sz w:val="24"/>
          <w:lang w:val="es-CO" w:eastAsia="es-CL"/>
        </w:rPr>
        <w:t xml:space="preserve">Revista Digital </w:t>
      </w:r>
      <w:proofErr w:type="spellStart"/>
      <w:r w:rsidRPr="00B624F9">
        <w:rPr>
          <w:bCs/>
          <w:i/>
          <w:color w:val="221E1F"/>
          <w:sz w:val="24"/>
          <w:lang w:val="es-CO" w:eastAsia="es-CL"/>
        </w:rPr>
        <w:t>Ceniap</w:t>
      </w:r>
      <w:proofErr w:type="spellEnd"/>
      <w:r w:rsidRPr="00B624F9">
        <w:rPr>
          <w:bCs/>
          <w:i/>
          <w:color w:val="221E1F"/>
          <w:sz w:val="24"/>
          <w:lang w:val="es-CO" w:eastAsia="es-CL"/>
        </w:rPr>
        <w:t xml:space="preserve"> Hoy, 11</w:t>
      </w:r>
      <w:r w:rsidRPr="00B624F9">
        <w:rPr>
          <w:bCs/>
          <w:color w:val="221E1F"/>
          <w:sz w:val="24"/>
          <w:lang w:val="es-CO" w:eastAsia="es-CL"/>
        </w:rPr>
        <w:t xml:space="preserve">. Recuperado de </w:t>
      </w:r>
      <w:hyperlink r:id="rId13" w:history="1">
        <w:r w:rsidRPr="00F96285">
          <w:rPr>
            <w:rStyle w:val="Hipervnculo"/>
            <w:sz w:val="24"/>
            <w:lang w:val="es-CO" w:eastAsia="es-CL"/>
          </w:rPr>
          <w:t>https://goo.gl/M4sAm3</w:t>
        </w:r>
      </w:hyperlink>
      <w:r w:rsidRPr="00B624F9">
        <w:rPr>
          <w:bCs/>
          <w:color w:val="221E1F"/>
          <w:sz w:val="24"/>
          <w:lang w:val="es-CO" w:eastAsia="es-CL"/>
        </w:rPr>
        <w:t>.</w:t>
      </w:r>
      <w:r w:rsidR="00480D8A">
        <w:rPr>
          <w:bCs/>
          <w:color w:val="221E1F"/>
          <w:sz w:val="24"/>
          <w:lang w:val="es-CO" w:eastAsia="es-CL"/>
        </w:rPr>
        <w:t xml:space="preserve"> </w:t>
      </w:r>
    </w:p>
    <w:p w14:paraId="5E0382C7" w14:textId="15FE3E4B" w:rsidR="00B624F9" w:rsidRPr="00480D8A" w:rsidRDefault="00B624F9" w:rsidP="00B624F9">
      <w:pPr>
        <w:autoSpaceDE w:val="0"/>
        <w:autoSpaceDN w:val="0"/>
        <w:adjustRightInd w:val="0"/>
        <w:spacing w:line="480" w:lineRule="auto"/>
      </w:pPr>
      <w:proofErr w:type="spellStart"/>
      <w:r w:rsidRPr="00B624F9">
        <w:rPr>
          <w:bCs/>
          <w:color w:val="221E1F"/>
          <w:sz w:val="24"/>
          <w:lang w:val="pt-BR" w:eastAsia="es-CL"/>
        </w:rPr>
        <w:t>Badji</w:t>
      </w:r>
      <w:proofErr w:type="spellEnd"/>
      <w:r w:rsidRPr="00B624F9">
        <w:rPr>
          <w:bCs/>
          <w:color w:val="221E1F"/>
          <w:sz w:val="24"/>
          <w:lang w:val="pt-BR" w:eastAsia="es-CL"/>
        </w:rPr>
        <w:t xml:space="preserve">, C. A., Eiras, A. E., Cabrera, A., &amp; </w:t>
      </w:r>
      <w:r>
        <w:rPr>
          <w:bCs/>
          <w:color w:val="221E1F"/>
          <w:sz w:val="24"/>
          <w:lang w:val="pt-BR" w:eastAsia="es-CL"/>
        </w:rPr>
        <w:t xml:space="preserve">Jaffe, K. (2003). Avaliação do feromônio sexual de </w:t>
      </w:r>
      <w:proofErr w:type="spellStart"/>
      <w:r w:rsidRPr="00B624F9">
        <w:rPr>
          <w:bCs/>
          <w:i/>
          <w:color w:val="221E1F"/>
          <w:sz w:val="24"/>
          <w:lang w:val="pt-BR" w:eastAsia="es-CL"/>
        </w:rPr>
        <w:t>Neoleucinodes</w:t>
      </w:r>
      <w:proofErr w:type="spellEnd"/>
      <w:r w:rsidRPr="00B624F9">
        <w:rPr>
          <w:bCs/>
          <w:i/>
          <w:color w:val="221E1F"/>
          <w:sz w:val="24"/>
          <w:lang w:val="pt-BR" w:eastAsia="es-CL"/>
        </w:rPr>
        <w:t xml:space="preserve"> </w:t>
      </w:r>
      <w:proofErr w:type="spellStart"/>
      <w:r w:rsidRPr="00B624F9">
        <w:rPr>
          <w:bCs/>
          <w:i/>
          <w:color w:val="221E1F"/>
          <w:sz w:val="24"/>
          <w:lang w:val="pt-BR" w:eastAsia="es-CL"/>
        </w:rPr>
        <w:t>elegantalis</w:t>
      </w:r>
      <w:proofErr w:type="spellEnd"/>
      <w:r>
        <w:rPr>
          <w:bCs/>
          <w:color w:val="221E1F"/>
          <w:sz w:val="24"/>
          <w:lang w:val="pt-BR" w:eastAsia="es-CL"/>
        </w:rPr>
        <w:t xml:space="preserve"> </w:t>
      </w:r>
      <w:proofErr w:type="spellStart"/>
      <w:r>
        <w:rPr>
          <w:bCs/>
          <w:color w:val="221E1F"/>
          <w:sz w:val="24"/>
          <w:lang w:val="pt-BR" w:eastAsia="es-CL"/>
        </w:rPr>
        <w:t>Guenée</w:t>
      </w:r>
      <w:proofErr w:type="spellEnd"/>
      <w:r>
        <w:rPr>
          <w:bCs/>
          <w:color w:val="221E1F"/>
          <w:sz w:val="24"/>
          <w:lang w:val="pt-BR" w:eastAsia="es-CL"/>
        </w:rPr>
        <w:t xml:space="preserve"> </w:t>
      </w:r>
      <w:r w:rsidRPr="00B624F9">
        <w:rPr>
          <w:bCs/>
          <w:color w:val="221E1F"/>
          <w:sz w:val="24"/>
          <w:lang w:val="pt-BR" w:eastAsia="es-CL"/>
        </w:rPr>
        <w:t>(L</w:t>
      </w:r>
      <w:r>
        <w:rPr>
          <w:bCs/>
          <w:color w:val="221E1F"/>
          <w:sz w:val="24"/>
          <w:lang w:val="pt-BR" w:eastAsia="es-CL"/>
        </w:rPr>
        <w:t xml:space="preserve">epidoptera: Crambidae). </w:t>
      </w:r>
      <w:r w:rsidRPr="00B624F9">
        <w:rPr>
          <w:bCs/>
          <w:i/>
          <w:color w:val="221E1F"/>
          <w:sz w:val="24"/>
          <w:lang w:val="pt-BR" w:eastAsia="es-CL"/>
        </w:rPr>
        <w:t xml:space="preserve">Neotropical </w:t>
      </w:r>
      <w:proofErr w:type="spellStart"/>
      <w:r w:rsidRPr="00B624F9">
        <w:rPr>
          <w:bCs/>
          <w:i/>
          <w:color w:val="221E1F"/>
          <w:sz w:val="24"/>
          <w:lang w:val="pt-BR" w:eastAsia="es-CL"/>
        </w:rPr>
        <w:t>Entomology</w:t>
      </w:r>
      <w:proofErr w:type="spellEnd"/>
      <w:r w:rsidRPr="00B624F9">
        <w:rPr>
          <w:bCs/>
          <w:i/>
          <w:color w:val="221E1F"/>
          <w:sz w:val="24"/>
          <w:lang w:val="pt-BR" w:eastAsia="es-CL"/>
        </w:rPr>
        <w:t>, 32</w:t>
      </w:r>
      <w:r w:rsidRPr="00B624F9">
        <w:rPr>
          <w:bCs/>
          <w:color w:val="221E1F"/>
          <w:sz w:val="24"/>
          <w:lang w:val="pt-BR" w:eastAsia="es-CL"/>
        </w:rPr>
        <w:t>(2), 221-229.</w:t>
      </w:r>
      <w:r w:rsidR="00480D8A" w:rsidRPr="00480D8A">
        <w:t xml:space="preserve"> </w:t>
      </w:r>
      <w:hyperlink r:id="rId14" w:history="1">
        <w:r w:rsidR="00480D8A" w:rsidRPr="00397E34">
          <w:rPr>
            <w:rStyle w:val="Hipervnculo"/>
            <w:bCs/>
            <w:sz w:val="24"/>
            <w:lang w:val="pt-BR" w:eastAsia="es-CL"/>
          </w:rPr>
          <w:t>https://doi.org/10.1590/S1519-566X2003000200006</w:t>
        </w:r>
      </w:hyperlink>
      <w:r w:rsidR="00480D8A">
        <w:rPr>
          <w:bCs/>
          <w:color w:val="221E1F"/>
          <w:sz w:val="24"/>
          <w:lang w:val="pt-BR" w:eastAsia="es-CL"/>
        </w:rPr>
        <w:t xml:space="preserve"> </w:t>
      </w:r>
    </w:p>
    <w:p w14:paraId="47BCF86A" w14:textId="1A2DC079" w:rsidR="00B624F9" w:rsidRPr="00B624F9" w:rsidRDefault="00B624F9" w:rsidP="00B624F9">
      <w:pPr>
        <w:autoSpaceDE w:val="0"/>
        <w:autoSpaceDN w:val="0"/>
        <w:adjustRightInd w:val="0"/>
        <w:spacing w:line="480" w:lineRule="auto"/>
        <w:rPr>
          <w:bCs/>
          <w:color w:val="221E1F"/>
          <w:sz w:val="24"/>
          <w:lang w:eastAsia="es-CL"/>
        </w:rPr>
      </w:pPr>
      <w:r w:rsidRPr="00B624F9">
        <w:rPr>
          <w:bCs/>
          <w:color w:val="221E1F"/>
          <w:sz w:val="24"/>
          <w:lang w:val="pt-BR" w:eastAsia="es-CL"/>
        </w:rPr>
        <w:t xml:space="preserve">Cabrera, A., Eiras, A. E., Gries, G., Gries, R., Urdaneta, N., </w:t>
      </w:r>
      <w:proofErr w:type="spellStart"/>
      <w:r w:rsidRPr="00B624F9">
        <w:rPr>
          <w:bCs/>
          <w:color w:val="221E1F"/>
          <w:sz w:val="24"/>
          <w:lang w:val="pt-BR" w:eastAsia="es-CL"/>
        </w:rPr>
        <w:t>Mirás</w:t>
      </w:r>
      <w:proofErr w:type="spellEnd"/>
      <w:r w:rsidRPr="00B624F9">
        <w:rPr>
          <w:bCs/>
          <w:color w:val="221E1F"/>
          <w:sz w:val="24"/>
          <w:lang w:val="pt-BR" w:eastAsia="es-CL"/>
        </w:rPr>
        <w:t xml:space="preserve">, B., </w:t>
      </w:r>
      <w:proofErr w:type="spellStart"/>
      <w:r w:rsidRPr="00B624F9">
        <w:rPr>
          <w:bCs/>
          <w:color w:val="221E1F"/>
          <w:sz w:val="24"/>
          <w:lang w:val="pt-BR" w:eastAsia="es-CL"/>
        </w:rPr>
        <w:t>Badji</w:t>
      </w:r>
      <w:proofErr w:type="spellEnd"/>
      <w:r w:rsidRPr="00B624F9">
        <w:rPr>
          <w:bCs/>
          <w:color w:val="221E1F"/>
          <w:sz w:val="24"/>
          <w:lang w:val="pt-BR" w:eastAsia="es-CL"/>
        </w:rPr>
        <w:t xml:space="preserve">, C., &amp; Jaffe, K. (2001). </w:t>
      </w:r>
      <w:r>
        <w:rPr>
          <w:bCs/>
          <w:color w:val="221E1F"/>
          <w:sz w:val="24"/>
          <w:lang w:val="pt-BR" w:eastAsia="es-CL"/>
        </w:rPr>
        <w:t xml:space="preserve">Sex </w:t>
      </w:r>
      <w:proofErr w:type="spellStart"/>
      <w:r>
        <w:rPr>
          <w:bCs/>
          <w:color w:val="221E1F"/>
          <w:sz w:val="24"/>
          <w:lang w:val="pt-BR" w:eastAsia="es-CL"/>
        </w:rPr>
        <w:t>pheromone</w:t>
      </w:r>
      <w:proofErr w:type="spellEnd"/>
      <w:r w:rsidRPr="00B624F9">
        <w:rPr>
          <w:bCs/>
          <w:color w:val="221E1F"/>
          <w:sz w:val="24"/>
          <w:lang w:val="pt-BR" w:eastAsia="es-CL"/>
        </w:rPr>
        <w:t xml:space="preserve"> of </w:t>
      </w:r>
      <w:proofErr w:type="spellStart"/>
      <w:r w:rsidRPr="00B624F9">
        <w:rPr>
          <w:bCs/>
          <w:color w:val="221E1F"/>
          <w:sz w:val="24"/>
          <w:lang w:val="pt-BR" w:eastAsia="es-CL"/>
        </w:rPr>
        <w:t>tomato</w:t>
      </w:r>
      <w:proofErr w:type="spellEnd"/>
      <w:r w:rsidRPr="00B624F9">
        <w:rPr>
          <w:bCs/>
          <w:color w:val="221E1F"/>
          <w:sz w:val="24"/>
          <w:lang w:val="pt-BR" w:eastAsia="es-CL"/>
        </w:rPr>
        <w:t xml:space="preserve"> </w:t>
      </w:r>
      <w:proofErr w:type="spellStart"/>
      <w:r w:rsidRPr="00B624F9">
        <w:rPr>
          <w:bCs/>
          <w:color w:val="221E1F"/>
          <w:sz w:val="24"/>
          <w:lang w:val="pt-BR" w:eastAsia="es-CL"/>
        </w:rPr>
        <w:t>fruit</w:t>
      </w:r>
      <w:proofErr w:type="spellEnd"/>
      <w:r w:rsidRPr="00B624F9">
        <w:rPr>
          <w:bCs/>
          <w:color w:val="221E1F"/>
          <w:sz w:val="24"/>
          <w:lang w:val="pt-BR" w:eastAsia="es-CL"/>
        </w:rPr>
        <w:t xml:space="preserve"> </w:t>
      </w:r>
      <w:proofErr w:type="spellStart"/>
      <w:r w:rsidRPr="00B624F9">
        <w:rPr>
          <w:bCs/>
          <w:color w:val="221E1F"/>
          <w:sz w:val="24"/>
          <w:lang w:val="pt-BR" w:eastAsia="es-CL"/>
        </w:rPr>
        <w:t>borer</w:t>
      </w:r>
      <w:proofErr w:type="spellEnd"/>
      <w:r w:rsidRPr="00B624F9">
        <w:rPr>
          <w:bCs/>
          <w:color w:val="221E1F"/>
          <w:sz w:val="24"/>
          <w:lang w:val="pt-BR" w:eastAsia="es-CL"/>
        </w:rPr>
        <w:t xml:space="preserve">, </w:t>
      </w:r>
      <w:proofErr w:type="spellStart"/>
      <w:r w:rsidRPr="00B624F9">
        <w:rPr>
          <w:bCs/>
          <w:i/>
          <w:color w:val="221E1F"/>
          <w:sz w:val="24"/>
          <w:lang w:val="pt-BR" w:eastAsia="es-CL"/>
        </w:rPr>
        <w:t>Neoleucinodes</w:t>
      </w:r>
      <w:proofErr w:type="spellEnd"/>
      <w:r w:rsidRPr="00B624F9">
        <w:rPr>
          <w:bCs/>
          <w:i/>
          <w:color w:val="221E1F"/>
          <w:sz w:val="24"/>
          <w:lang w:val="pt-BR" w:eastAsia="es-CL"/>
        </w:rPr>
        <w:t xml:space="preserve"> </w:t>
      </w:r>
      <w:proofErr w:type="spellStart"/>
      <w:r w:rsidRPr="00B624F9">
        <w:rPr>
          <w:bCs/>
          <w:i/>
          <w:color w:val="221E1F"/>
          <w:sz w:val="24"/>
          <w:lang w:val="pt-BR" w:eastAsia="es-CL"/>
        </w:rPr>
        <w:t>elegantalis</w:t>
      </w:r>
      <w:proofErr w:type="spellEnd"/>
      <w:r w:rsidRPr="00B624F9">
        <w:rPr>
          <w:bCs/>
          <w:color w:val="221E1F"/>
          <w:sz w:val="24"/>
          <w:lang w:val="pt-BR" w:eastAsia="es-CL"/>
        </w:rPr>
        <w:t xml:space="preserve">. </w:t>
      </w:r>
      <w:r>
        <w:rPr>
          <w:bCs/>
          <w:i/>
          <w:color w:val="221E1F"/>
          <w:sz w:val="24"/>
          <w:lang w:eastAsia="es-CL"/>
        </w:rPr>
        <w:t>Journal of Chemical Ecolog</w:t>
      </w:r>
      <w:r w:rsidRPr="00B624F9">
        <w:rPr>
          <w:bCs/>
          <w:i/>
          <w:color w:val="221E1F"/>
          <w:sz w:val="24"/>
          <w:lang w:eastAsia="es-CL"/>
        </w:rPr>
        <w:t>y, 27</w:t>
      </w:r>
      <w:r w:rsidRPr="00B624F9">
        <w:rPr>
          <w:bCs/>
          <w:color w:val="221E1F"/>
          <w:sz w:val="24"/>
          <w:lang w:eastAsia="es-CL"/>
        </w:rPr>
        <w:t>(10), 2097-2107.</w:t>
      </w:r>
      <w:r w:rsidR="00480D8A" w:rsidRPr="00480D8A">
        <w:t xml:space="preserve"> </w:t>
      </w:r>
      <w:hyperlink r:id="rId15" w:history="1">
        <w:r w:rsidR="00480D8A" w:rsidRPr="00397E34">
          <w:rPr>
            <w:rStyle w:val="Hipervnculo"/>
            <w:bCs/>
            <w:sz w:val="24"/>
            <w:lang w:eastAsia="es-CL"/>
          </w:rPr>
          <w:t>https://doi.org/10.1590/S1519-566X2003000200006</w:t>
        </w:r>
      </w:hyperlink>
      <w:r w:rsidR="00480D8A">
        <w:rPr>
          <w:bCs/>
          <w:color w:val="221E1F"/>
          <w:sz w:val="24"/>
          <w:lang w:eastAsia="es-CL"/>
        </w:rPr>
        <w:t xml:space="preserve"> </w:t>
      </w:r>
    </w:p>
    <w:p w14:paraId="3792D878" w14:textId="77777777" w:rsidR="00B624F9" w:rsidRDefault="00B624F9" w:rsidP="00B624F9">
      <w:pPr>
        <w:autoSpaceDE w:val="0"/>
        <w:autoSpaceDN w:val="0"/>
        <w:adjustRightInd w:val="0"/>
        <w:spacing w:line="480" w:lineRule="auto"/>
        <w:rPr>
          <w:b/>
          <w:bCs/>
          <w:color w:val="221E1F"/>
          <w:sz w:val="24"/>
          <w:lang w:eastAsia="es-CL"/>
        </w:rPr>
      </w:pPr>
    </w:p>
    <w:sectPr w:rsidR="00B624F9" w:rsidSect="00705866">
      <w:footerReference w:type="even" r:id="rId16"/>
      <w:footerReference w:type="default" r:id="rId17"/>
      <w:pgSz w:w="12242" w:h="15842" w:code="1"/>
      <w:pgMar w:top="1701" w:right="1701" w:bottom="1701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laudia Pilar Villa Jimenez" w:date="2023-06-27T12:35:00Z" w:initials="CPVJ">
    <w:p w14:paraId="6EDBD81C" w14:textId="77777777" w:rsidR="006F4ECA" w:rsidRDefault="006F4ECA" w:rsidP="00D660B0">
      <w:pPr>
        <w:pStyle w:val="Textocomentario"/>
        <w:jc w:val="left"/>
      </w:pPr>
      <w:r>
        <w:rPr>
          <w:rStyle w:val="Refdecomentario"/>
        </w:rPr>
        <w:annotationRef/>
      </w:r>
      <w:r>
        <w:rPr>
          <w:color w:val="000000"/>
          <w:lang w:val="es-ES"/>
        </w:rPr>
        <w:t>De acuerdo a la tipología de artículo que se menciona en instrucciones para autores</w:t>
      </w:r>
    </w:p>
  </w:comment>
  <w:comment w:id="1" w:author="Claudia Pilar Villa Jimenez" w:date="2023-06-27T12:48:00Z" w:initials="CPVJ">
    <w:p w14:paraId="2EC11A29" w14:textId="77777777" w:rsidR="004A5E94" w:rsidRDefault="0031721E" w:rsidP="00447DF6">
      <w:pPr>
        <w:pStyle w:val="Textocomentario"/>
        <w:jc w:val="left"/>
      </w:pPr>
      <w:r>
        <w:rPr>
          <w:rStyle w:val="Refdecomentario"/>
        </w:rPr>
        <w:annotationRef/>
      </w:r>
      <w:r w:rsidR="004A5E94">
        <w:rPr>
          <w:color w:val="000000"/>
          <w:lang w:val="es-ES"/>
        </w:rPr>
        <w:t xml:space="preserve">De acuerdo con las 13 líneas temáticas de la revista: </w:t>
      </w:r>
      <w:r w:rsidR="004A5E94">
        <w:rPr>
          <w:color w:val="000000"/>
          <w:highlight w:val="white"/>
          <w:lang w:val="es-ES"/>
        </w:rPr>
        <w:t>alimentación y nutrición animal, ciencias forestales, economía y desarrollo rural, fisiología animal y vegetal,  genética y biodiversidad, gestión y sostenibilidad ambiental, manejo y tecnología postcosecha, manejo de sistemas productivos, recursos físicos,  sanidad vegetal y protección de cultivos, sistemas de información zonificación y georreferenciación, transformación y agroindustria, y variabilidad y cambio climático.</w:t>
      </w:r>
      <w:r w:rsidR="004A5E94">
        <w:rPr>
          <w:color w:val="000000"/>
          <w:lang w:val="es-ES"/>
        </w:rPr>
        <w:t xml:space="preserve">  Ver descripción en instrucciones para autores </w:t>
      </w:r>
    </w:p>
  </w:comment>
  <w:comment w:id="2" w:author="Claudia Pilar Villa Jimenez" w:date="2023-06-27T12:48:00Z" w:initials="CPVJ">
    <w:p w14:paraId="3C031B54" w14:textId="7AC7DC76" w:rsidR="000B7763" w:rsidRDefault="000B7763" w:rsidP="00955C7F">
      <w:pPr>
        <w:pStyle w:val="Textocomentario"/>
        <w:jc w:val="left"/>
      </w:pPr>
      <w:r>
        <w:rPr>
          <w:rStyle w:val="Refdecomentario"/>
        </w:rPr>
        <w:annotationRef/>
      </w:r>
      <w:r>
        <w:rPr>
          <w:color w:val="000000"/>
          <w:lang w:val="es-ES"/>
        </w:rPr>
        <w:t>Título en mayúsculas y minúsculas, en 2 idiomas, y no  debe exceder de 22 palabras</w:t>
      </w:r>
    </w:p>
  </w:comment>
  <w:comment w:id="3" w:author="Claudia Pilar Villa Jimenez" w:date="2023-06-27T12:49:00Z" w:initials="CPVJ">
    <w:p w14:paraId="4B60C46B" w14:textId="77777777" w:rsidR="000B7763" w:rsidRDefault="000B7763" w:rsidP="00F701E0">
      <w:pPr>
        <w:pStyle w:val="Textocomentario"/>
        <w:jc w:val="left"/>
      </w:pPr>
      <w:r>
        <w:rPr>
          <w:rStyle w:val="Refdecomentario"/>
        </w:rPr>
        <w:annotationRef/>
      </w:r>
      <w:r>
        <w:rPr>
          <w:color w:val="000000"/>
          <w:lang w:val="es-ES"/>
        </w:rPr>
        <w:t>Se presenta en el idioma original y en inglés o viceversa, no debe exceder 250 palabras</w:t>
      </w:r>
    </w:p>
  </w:comment>
  <w:comment w:id="4" w:author="Claudia Pilar Villa Jimenez" w:date="2023-06-27T12:51:00Z" w:initials="CPVJ">
    <w:p w14:paraId="53AE22FB" w14:textId="77777777" w:rsidR="00CA7EE1" w:rsidRDefault="00CA7EE1" w:rsidP="003530C0">
      <w:pPr>
        <w:pStyle w:val="Textocomentario"/>
        <w:jc w:val="left"/>
      </w:pPr>
      <w:r>
        <w:rPr>
          <w:rStyle w:val="Refdecomentario"/>
        </w:rPr>
        <w:annotationRef/>
      </w:r>
      <w:r>
        <w:rPr>
          <w:color w:val="000000"/>
          <w:lang w:val="es-ES"/>
        </w:rPr>
        <w:t xml:space="preserve">Incluya mínimo 5 palabras y máximo 7 en orden alfabético y para los dos idiomas (español e inglés). Consulte y use los descriptores del tesauro agrícola multilingüe Agrovoc, creado por la FAO, disponible en: </w:t>
      </w:r>
      <w:hyperlink r:id="rId1" w:history="1">
        <w:r w:rsidRPr="003530C0">
          <w:rPr>
            <w:rStyle w:val="Hipervnculo"/>
            <w:lang w:val="es-ES"/>
          </w:rPr>
          <w:t>https://agrovoc.fao.org/browse/agrovoc/es/page/c_5579</w:t>
        </w:r>
      </w:hyperlink>
    </w:p>
  </w:comment>
  <w:comment w:id="5" w:author="Claudia Pilar Villa Jimenez" w:date="2023-06-27T12:51:00Z" w:initials="CPVJ">
    <w:p w14:paraId="6622B892" w14:textId="77777777" w:rsidR="00E639AC" w:rsidRDefault="00E639AC" w:rsidP="00577FE0">
      <w:pPr>
        <w:pStyle w:val="Textocomentario"/>
        <w:jc w:val="left"/>
      </w:pPr>
      <w:r>
        <w:rPr>
          <w:rStyle w:val="Refdecomentario"/>
        </w:rPr>
        <w:annotationRef/>
      </w:r>
      <w:r>
        <w:rPr>
          <w:color w:val="000000"/>
          <w:lang w:val="es-ES"/>
        </w:rPr>
        <w:t>Para el desarrollo de esta y las secciones posteriores, tener en cuenta las instrucciones a los autores de la Revista</w:t>
      </w:r>
    </w:p>
  </w:comment>
  <w:comment w:id="6" w:author="Claudia Pilar Villa Jimenez" w:date="2023-06-27T12:58:00Z" w:initials="CPVJ">
    <w:p w14:paraId="2F27E377" w14:textId="77777777" w:rsidR="00C064F9" w:rsidRDefault="00C064F9" w:rsidP="00C04A48">
      <w:pPr>
        <w:pStyle w:val="Textocomentario"/>
        <w:jc w:val="left"/>
      </w:pPr>
      <w:r>
        <w:rPr>
          <w:rStyle w:val="Refdecomentario"/>
        </w:rPr>
        <w:annotationRef/>
      </w:r>
      <w:r>
        <w:t xml:space="preserve">Para identificar que es un autor o coautor por favor revise la metodología </w:t>
      </w:r>
      <w:r>
        <w:rPr>
          <w:lang w:val="es-CO"/>
        </w:rPr>
        <w:t xml:space="preserve">CREdiT. </w:t>
      </w:r>
      <w:hyperlink r:id="rId2" w:history="1">
        <w:r w:rsidRPr="00C04A48">
          <w:rPr>
            <w:rStyle w:val="Hipervnculo"/>
            <w:lang w:val="es-CO"/>
          </w:rPr>
          <w:t>https://credit.niso.org/</w:t>
        </w:r>
      </w:hyperlink>
    </w:p>
  </w:comment>
  <w:comment w:id="7" w:author="Claudia Pilar Villa Jimenez" w:date="2023-06-27T13:27:00Z" w:initials="CPVJ">
    <w:p w14:paraId="02CB5426" w14:textId="77777777" w:rsidR="00A55EBC" w:rsidRDefault="00A55EBC" w:rsidP="006D4F71">
      <w:pPr>
        <w:pStyle w:val="Textocomentario"/>
        <w:jc w:val="left"/>
      </w:pPr>
      <w:r>
        <w:rPr>
          <w:rStyle w:val="Refdecomentario"/>
        </w:rPr>
        <w:annotationRef/>
      </w:r>
      <w:r>
        <w:rPr>
          <w:color w:val="000000"/>
          <w:lang w:val="es-CO"/>
        </w:rPr>
        <w:t>En esta sección se debe informar y declarar las implicaciones éticas de investigaciones que involucren animales o personas, que puedan relacionarse con el desarrollo del proyecto. De existir se deberá incluir el número de acta de aprobación del Comité de ética de la institución o instituciones que respaldan la investigación y el consentimiento informado de las personas que participaron en el estudio.</w:t>
      </w:r>
    </w:p>
  </w:comment>
  <w:comment w:id="8" w:author="Claudia Pilar Villa Jimenez" w:date="2023-06-27T13:27:00Z" w:initials="CPVJ">
    <w:p w14:paraId="4254F755" w14:textId="77777777" w:rsidR="00A81448" w:rsidRDefault="00A81448" w:rsidP="00DD5BAF">
      <w:pPr>
        <w:pStyle w:val="Textocomentario"/>
        <w:jc w:val="left"/>
      </w:pPr>
      <w:r>
        <w:rPr>
          <w:rStyle w:val="Refdecomentario"/>
        </w:rPr>
        <w:annotationRef/>
      </w:r>
      <w:r>
        <w:rPr>
          <w:color w:val="000000"/>
          <w:lang w:val="es-CO"/>
        </w:rPr>
        <w:t>En esta sección se debe informar y declarar los conflictos de interés que puedan influir en sus resultados o interpretaciones.</w:t>
      </w:r>
    </w:p>
  </w:comment>
  <w:comment w:id="9" w:author="Claudia Pilar Villa Jimenez" w:date="2023-06-27T13:27:00Z" w:initials="CPVJ">
    <w:p w14:paraId="73B049A2" w14:textId="77777777" w:rsidR="00FD783B" w:rsidRDefault="00FD783B" w:rsidP="00803B20">
      <w:pPr>
        <w:pStyle w:val="Textocomentario"/>
        <w:jc w:val="left"/>
      </w:pPr>
      <w:r>
        <w:rPr>
          <w:rStyle w:val="Refdecomentario"/>
        </w:rPr>
        <w:annotationRef/>
      </w:r>
      <w:r>
        <w:rPr>
          <w:color w:val="000000"/>
          <w:lang w:val="es-CO"/>
        </w:rPr>
        <w:t>En esta sección se debe informar sobre las fuentes de financiación.</w:t>
      </w:r>
    </w:p>
  </w:comment>
  <w:comment w:id="10" w:author="Claudia Pilar Villa Jimenez" w:date="2023-06-28T12:16:00Z" w:initials="CPVJ">
    <w:p w14:paraId="74F87357" w14:textId="77777777" w:rsidR="002C6A7C" w:rsidRDefault="002C6A7C" w:rsidP="000F31C6">
      <w:pPr>
        <w:pStyle w:val="Textocomentario"/>
        <w:jc w:val="left"/>
      </w:pPr>
      <w:r>
        <w:rPr>
          <w:rStyle w:val="Refdecomentario"/>
        </w:rPr>
        <w:annotationRef/>
      </w:r>
      <w:r>
        <w:rPr>
          <w:color w:val="000000"/>
          <w:lang w:val="es-ES"/>
        </w:rPr>
        <w:t xml:space="preserve">Se debe consultar y usar el formato APA de la revista. </w:t>
      </w:r>
      <w:r>
        <w:rPr>
          <w:lang w:val="es-CO"/>
        </w:rPr>
        <w:t xml:space="preserve">Pueden consultar ejemplos en el capítulo 6, Sistema APA de citación del </w:t>
      </w:r>
      <w:hyperlink r:id="rId3" w:history="1">
        <w:r w:rsidRPr="000F31C6">
          <w:rPr>
            <w:rStyle w:val="Hipervnculo"/>
            <w:lang w:val="es-CO"/>
          </w:rPr>
          <w:t>Manual de Edición de Agrosavia</w:t>
        </w:r>
      </w:hyperlink>
      <w:r>
        <w:rPr>
          <w:lang w:val="es-CO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EDBD81C" w15:done="0"/>
  <w15:commentEx w15:paraId="2EC11A29" w15:done="0"/>
  <w15:commentEx w15:paraId="3C031B54" w15:done="0"/>
  <w15:commentEx w15:paraId="4B60C46B" w15:done="0"/>
  <w15:commentEx w15:paraId="53AE22FB" w15:done="0"/>
  <w15:commentEx w15:paraId="6622B892" w15:done="0"/>
  <w15:commentEx w15:paraId="2F27E377" w15:done="0"/>
  <w15:commentEx w15:paraId="02CB5426" w15:done="0"/>
  <w15:commentEx w15:paraId="4254F755" w15:done="0"/>
  <w15:commentEx w15:paraId="73B049A2" w15:done="0"/>
  <w15:commentEx w15:paraId="74F8735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555F4" w16cex:dateUtc="2023-06-27T17:35:00Z"/>
  <w16cex:commentExtensible w16cex:durableId="28455922" w16cex:dateUtc="2023-06-27T17:48:00Z"/>
  <w16cex:commentExtensible w16cex:durableId="2845593B" w16cex:dateUtc="2023-06-27T17:48:00Z"/>
  <w16cex:commentExtensible w16cex:durableId="28455960" w16cex:dateUtc="2023-06-27T17:49:00Z"/>
  <w16cex:commentExtensible w16cex:durableId="284559BD" w16cex:dateUtc="2023-06-27T17:51:00Z"/>
  <w16cex:commentExtensible w16cex:durableId="284559E3" w16cex:dateUtc="2023-06-27T17:51:00Z"/>
  <w16cex:commentExtensible w16cex:durableId="28455B5C" w16cex:dateUtc="2023-06-27T17:58:00Z"/>
  <w16cex:commentExtensible w16cex:durableId="2845622B" w16cex:dateUtc="2023-06-27T18:27:00Z"/>
  <w16cex:commentExtensible w16cex:durableId="28456241" w16cex:dateUtc="2023-06-27T18:27:00Z"/>
  <w16cex:commentExtensible w16cex:durableId="28456256" w16cex:dateUtc="2023-06-27T18:27:00Z"/>
  <w16cex:commentExtensible w16cex:durableId="2846A30D" w16cex:dateUtc="2023-06-28T17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EDBD81C" w16cid:durableId="284555F4"/>
  <w16cid:commentId w16cid:paraId="2EC11A29" w16cid:durableId="28455922"/>
  <w16cid:commentId w16cid:paraId="3C031B54" w16cid:durableId="2845593B"/>
  <w16cid:commentId w16cid:paraId="4B60C46B" w16cid:durableId="28455960"/>
  <w16cid:commentId w16cid:paraId="53AE22FB" w16cid:durableId="284559BD"/>
  <w16cid:commentId w16cid:paraId="6622B892" w16cid:durableId="284559E3"/>
  <w16cid:commentId w16cid:paraId="2F27E377" w16cid:durableId="28455B5C"/>
  <w16cid:commentId w16cid:paraId="02CB5426" w16cid:durableId="2845622B"/>
  <w16cid:commentId w16cid:paraId="4254F755" w16cid:durableId="28456241"/>
  <w16cid:commentId w16cid:paraId="73B049A2" w16cid:durableId="28456256"/>
  <w16cid:commentId w16cid:paraId="74F87357" w16cid:durableId="2846A30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9F36A" w14:textId="77777777" w:rsidR="00CE4CE9" w:rsidRDefault="00CE4CE9">
      <w:r>
        <w:separator/>
      </w:r>
    </w:p>
  </w:endnote>
  <w:endnote w:type="continuationSeparator" w:id="0">
    <w:p w14:paraId="571955B5" w14:textId="77777777" w:rsidR="00CE4CE9" w:rsidRDefault="00CE4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 Premr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MS Gothic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aramond Premr Pro Cap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 Premr Pro Smbd Disp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 Premr Pro Smb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6BDA" w14:textId="77777777" w:rsidR="00B301BB" w:rsidRDefault="00B301BB" w:rsidP="00AB3CF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63F85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5D5461C9" w14:textId="77777777" w:rsidR="00B301BB" w:rsidRDefault="00B301BB" w:rsidP="00FB1A3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85438" w14:textId="77777777" w:rsidR="00B301BB" w:rsidRPr="00FB1A3F" w:rsidRDefault="00B301BB" w:rsidP="00AB3CFD">
    <w:pPr>
      <w:pStyle w:val="Piedepgina"/>
      <w:framePr w:wrap="around" w:vAnchor="text" w:hAnchor="margin" w:xAlign="right" w:y="1"/>
      <w:rPr>
        <w:rStyle w:val="Nmerodepgina"/>
        <w:szCs w:val="22"/>
      </w:rPr>
    </w:pPr>
    <w:r w:rsidRPr="00FB1A3F">
      <w:rPr>
        <w:rStyle w:val="Nmerodepgina"/>
        <w:szCs w:val="22"/>
      </w:rPr>
      <w:fldChar w:fldCharType="begin"/>
    </w:r>
    <w:r w:rsidRPr="00FB1A3F">
      <w:rPr>
        <w:rStyle w:val="Nmerodepgina"/>
        <w:szCs w:val="22"/>
      </w:rPr>
      <w:instrText xml:space="preserve">PAGE  </w:instrText>
    </w:r>
    <w:r w:rsidRPr="00FB1A3F">
      <w:rPr>
        <w:rStyle w:val="Nmerodepgina"/>
        <w:szCs w:val="22"/>
      </w:rPr>
      <w:fldChar w:fldCharType="separate"/>
    </w:r>
    <w:r w:rsidR="00750859">
      <w:rPr>
        <w:rStyle w:val="Nmerodepgina"/>
        <w:noProof/>
        <w:szCs w:val="22"/>
      </w:rPr>
      <w:t>1</w:t>
    </w:r>
    <w:r w:rsidRPr="00FB1A3F">
      <w:rPr>
        <w:rStyle w:val="Nmerodepgina"/>
        <w:szCs w:val="22"/>
      </w:rPr>
      <w:fldChar w:fldCharType="end"/>
    </w:r>
  </w:p>
  <w:p w14:paraId="1373D1B2" w14:textId="77777777" w:rsidR="00B301BB" w:rsidRDefault="00B301BB" w:rsidP="00FB1A3F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EE349" w14:textId="77777777" w:rsidR="00CE4CE9" w:rsidRDefault="00CE4CE9">
      <w:r>
        <w:separator/>
      </w:r>
    </w:p>
  </w:footnote>
  <w:footnote w:type="continuationSeparator" w:id="0">
    <w:p w14:paraId="24C09773" w14:textId="77777777" w:rsidR="00CE4CE9" w:rsidRDefault="00CE4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E5DD9"/>
    <w:multiLevelType w:val="hybridMultilevel"/>
    <w:tmpl w:val="29F4E1AC"/>
    <w:lvl w:ilvl="0" w:tplc="2244D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0CCA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6EE9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484C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8EF9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CEBB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7EBF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9488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6A93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8932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laudia Pilar Villa Jimenez">
    <w15:presenceInfo w15:providerId="AD" w15:userId="S::cvilla@agrosavia.co::5d8ef2d6-3318-42f8-9462-56b5618049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6" w:nlCheck="1" w:checkStyle="1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CO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3F"/>
    <w:rsid w:val="000048BA"/>
    <w:rsid w:val="000207B9"/>
    <w:rsid w:val="00020E6D"/>
    <w:rsid w:val="00026F14"/>
    <w:rsid w:val="000304D7"/>
    <w:rsid w:val="00051558"/>
    <w:rsid w:val="000534C7"/>
    <w:rsid w:val="00063E94"/>
    <w:rsid w:val="000B7763"/>
    <w:rsid w:val="000C0D07"/>
    <w:rsid w:val="000C3EB1"/>
    <w:rsid w:val="000E0441"/>
    <w:rsid w:val="00110119"/>
    <w:rsid w:val="00113918"/>
    <w:rsid w:val="00137BC7"/>
    <w:rsid w:val="001420F5"/>
    <w:rsid w:val="00145E8E"/>
    <w:rsid w:val="00172550"/>
    <w:rsid w:val="00187A64"/>
    <w:rsid w:val="001A42FC"/>
    <w:rsid w:val="001C7E2C"/>
    <w:rsid w:val="001E3B78"/>
    <w:rsid w:val="001F1DDC"/>
    <w:rsid w:val="00200D3C"/>
    <w:rsid w:val="002061E4"/>
    <w:rsid w:val="002304CB"/>
    <w:rsid w:val="00252275"/>
    <w:rsid w:val="002605D3"/>
    <w:rsid w:val="002749AF"/>
    <w:rsid w:val="002826F2"/>
    <w:rsid w:val="00282727"/>
    <w:rsid w:val="00285484"/>
    <w:rsid w:val="00294A50"/>
    <w:rsid w:val="002B05E3"/>
    <w:rsid w:val="002C6A7C"/>
    <w:rsid w:val="002F3C37"/>
    <w:rsid w:val="0031721E"/>
    <w:rsid w:val="00331983"/>
    <w:rsid w:val="00333131"/>
    <w:rsid w:val="0033393D"/>
    <w:rsid w:val="00333E48"/>
    <w:rsid w:val="00334AC8"/>
    <w:rsid w:val="00363F85"/>
    <w:rsid w:val="00381619"/>
    <w:rsid w:val="00384ACA"/>
    <w:rsid w:val="0038784D"/>
    <w:rsid w:val="003940B0"/>
    <w:rsid w:val="003B354C"/>
    <w:rsid w:val="003B68EA"/>
    <w:rsid w:val="003C05EF"/>
    <w:rsid w:val="003C580C"/>
    <w:rsid w:val="003D50A3"/>
    <w:rsid w:val="003E76E5"/>
    <w:rsid w:val="003E780E"/>
    <w:rsid w:val="003F53E5"/>
    <w:rsid w:val="00406B1B"/>
    <w:rsid w:val="00435711"/>
    <w:rsid w:val="00437113"/>
    <w:rsid w:val="00446C75"/>
    <w:rsid w:val="00454B82"/>
    <w:rsid w:val="0046708A"/>
    <w:rsid w:val="00480D8A"/>
    <w:rsid w:val="00483BB6"/>
    <w:rsid w:val="00484654"/>
    <w:rsid w:val="004A5E94"/>
    <w:rsid w:val="004B48EA"/>
    <w:rsid w:val="0050292F"/>
    <w:rsid w:val="00521174"/>
    <w:rsid w:val="0053101D"/>
    <w:rsid w:val="00534D12"/>
    <w:rsid w:val="00537683"/>
    <w:rsid w:val="00562109"/>
    <w:rsid w:val="00562510"/>
    <w:rsid w:val="00564E7F"/>
    <w:rsid w:val="00587119"/>
    <w:rsid w:val="00591451"/>
    <w:rsid w:val="0059414A"/>
    <w:rsid w:val="005C0406"/>
    <w:rsid w:val="005C75E5"/>
    <w:rsid w:val="006256A6"/>
    <w:rsid w:val="00625866"/>
    <w:rsid w:val="00634AD8"/>
    <w:rsid w:val="006372C8"/>
    <w:rsid w:val="0067340D"/>
    <w:rsid w:val="00673BB1"/>
    <w:rsid w:val="00682695"/>
    <w:rsid w:val="006930F0"/>
    <w:rsid w:val="0069371F"/>
    <w:rsid w:val="00697922"/>
    <w:rsid w:val="006A20FE"/>
    <w:rsid w:val="006B40B1"/>
    <w:rsid w:val="006B4430"/>
    <w:rsid w:val="006C7E95"/>
    <w:rsid w:val="006E3E32"/>
    <w:rsid w:val="006F44CE"/>
    <w:rsid w:val="006F4ECA"/>
    <w:rsid w:val="00705866"/>
    <w:rsid w:val="007065F4"/>
    <w:rsid w:val="00712137"/>
    <w:rsid w:val="00750859"/>
    <w:rsid w:val="00761BB1"/>
    <w:rsid w:val="00772E20"/>
    <w:rsid w:val="007834B7"/>
    <w:rsid w:val="007A6A4D"/>
    <w:rsid w:val="007B16E4"/>
    <w:rsid w:val="007B23D0"/>
    <w:rsid w:val="007B681C"/>
    <w:rsid w:val="007D25CF"/>
    <w:rsid w:val="007D702A"/>
    <w:rsid w:val="007D705D"/>
    <w:rsid w:val="007E1D8A"/>
    <w:rsid w:val="007E5326"/>
    <w:rsid w:val="00824B98"/>
    <w:rsid w:val="008255B6"/>
    <w:rsid w:val="008421CA"/>
    <w:rsid w:val="008A730C"/>
    <w:rsid w:val="008B275B"/>
    <w:rsid w:val="008D3AC2"/>
    <w:rsid w:val="008D3C45"/>
    <w:rsid w:val="009128A8"/>
    <w:rsid w:val="00916878"/>
    <w:rsid w:val="00917C9E"/>
    <w:rsid w:val="00932A28"/>
    <w:rsid w:val="00933F9D"/>
    <w:rsid w:val="0096342F"/>
    <w:rsid w:val="00981E11"/>
    <w:rsid w:val="009872D2"/>
    <w:rsid w:val="00994758"/>
    <w:rsid w:val="009A2BF3"/>
    <w:rsid w:val="009B1CB9"/>
    <w:rsid w:val="009B2ED7"/>
    <w:rsid w:val="009E2F91"/>
    <w:rsid w:val="00A10742"/>
    <w:rsid w:val="00A16084"/>
    <w:rsid w:val="00A1759C"/>
    <w:rsid w:val="00A20BDE"/>
    <w:rsid w:val="00A4062E"/>
    <w:rsid w:val="00A558D5"/>
    <w:rsid w:val="00A55EBC"/>
    <w:rsid w:val="00A6161A"/>
    <w:rsid w:val="00A61890"/>
    <w:rsid w:val="00A81448"/>
    <w:rsid w:val="00A9099C"/>
    <w:rsid w:val="00AA146E"/>
    <w:rsid w:val="00AA79FD"/>
    <w:rsid w:val="00AB3CFD"/>
    <w:rsid w:val="00AC2E0E"/>
    <w:rsid w:val="00AC3CEB"/>
    <w:rsid w:val="00AE12B2"/>
    <w:rsid w:val="00AE556C"/>
    <w:rsid w:val="00AF2A0F"/>
    <w:rsid w:val="00AF43C4"/>
    <w:rsid w:val="00AF657B"/>
    <w:rsid w:val="00B02D48"/>
    <w:rsid w:val="00B0512D"/>
    <w:rsid w:val="00B14FA2"/>
    <w:rsid w:val="00B301BB"/>
    <w:rsid w:val="00B32765"/>
    <w:rsid w:val="00B46540"/>
    <w:rsid w:val="00B47319"/>
    <w:rsid w:val="00B53D8B"/>
    <w:rsid w:val="00B624F9"/>
    <w:rsid w:val="00B74E7F"/>
    <w:rsid w:val="00B75C75"/>
    <w:rsid w:val="00B77FB8"/>
    <w:rsid w:val="00BB2811"/>
    <w:rsid w:val="00BC5DA4"/>
    <w:rsid w:val="00BD6246"/>
    <w:rsid w:val="00BF0C5B"/>
    <w:rsid w:val="00C064F9"/>
    <w:rsid w:val="00C13EBB"/>
    <w:rsid w:val="00C178E8"/>
    <w:rsid w:val="00C30439"/>
    <w:rsid w:val="00C5437A"/>
    <w:rsid w:val="00C86F18"/>
    <w:rsid w:val="00C930CB"/>
    <w:rsid w:val="00C9413D"/>
    <w:rsid w:val="00CA7EE1"/>
    <w:rsid w:val="00CC401A"/>
    <w:rsid w:val="00CE3446"/>
    <w:rsid w:val="00CE4CE9"/>
    <w:rsid w:val="00CF25CA"/>
    <w:rsid w:val="00D00EE7"/>
    <w:rsid w:val="00D05627"/>
    <w:rsid w:val="00D246CF"/>
    <w:rsid w:val="00D36C30"/>
    <w:rsid w:val="00D373F6"/>
    <w:rsid w:val="00D403EE"/>
    <w:rsid w:val="00D40EA9"/>
    <w:rsid w:val="00D70CF8"/>
    <w:rsid w:val="00D74516"/>
    <w:rsid w:val="00D8136E"/>
    <w:rsid w:val="00D83A7B"/>
    <w:rsid w:val="00D911B4"/>
    <w:rsid w:val="00DA00F7"/>
    <w:rsid w:val="00DA1FF6"/>
    <w:rsid w:val="00DA25FE"/>
    <w:rsid w:val="00DC2041"/>
    <w:rsid w:val="00DD66FF"/>
    <w:rsid w:val="00E056DC"/>
    <w:rsid w:val="00E57059"/>
    <w:rsid w:val="00E639AC"/>
    <w:rsid w:val="00E971EE"/>
    <w:rsid w:val="00EA3962"/>
    <w:rsid w:val="00EB4B64"/>
    <w:rsid w:val="00EC33D8"/>
    <w:rsid w:val="00EE18D9"/>
    <w:rsid w:val="00EF4B3E"/>
    <w:rsid w:val="00EF6CB2"/>
    <w:rsid w:val="00F3431D"/>
    <w:rsid w:val="00F42400"/>
    <w:rsid w:val="00F56396"/>
    <w:rsid w:val="00F565BA"/>
    <w:rsid w:val="00F7753E"/>
    <w:rsid w:val="00F86305"/>
    <w:rsid w:val="00FA11A4"/>
    <w:rsid w:val="00FA53CB"/>
    <w:rsid w:val="00FB158E"/>
    <w:rsid w:val="00FB1A3F"/>
    <w:rsid w:val="00FC1D0E"/>
    <w:rsid w:val="00FD18FB"/>
    <w:rsid w:val="00FD4345"/>
    <w:rsid w:val="00FD783B"/>
    <w:rsid w:val="00FF08F8"/>
    <w:rsid w:val="00FF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7D78A"/>
  <w15:docId w15:val="{37A33889-C2AF-4439-93CF-77166BD4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3C45"/>
    <w:pPr>
      <w:spacing w:line="360" w:lineRule="auto"/>
      <w:jc w:val="both"/>
    </w:pPr>
    <w:rPr>
      <w:sz w:val="22"/>
      <w:szCs w:val="24"/>
      <w:lang w:val="en-U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Pr>
      <w:rFonts w:ascii="Arial" w:hAnsi="Arial" w:cs="Arial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  <w:b/>
      <w:bCs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Piedepgina">
    <w:name w:val="footer"/>
    <w:basedOn w:val="Normal"/>
    <w:rsid w:val="00FB1A3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B1A3F"/>
  </w:style>
  <w:style w:type="paragraph" w:styleId="Encabezado">
    <w:name w:val="header"/>
    <w:basedOn w:val="Normal"/>
    <w:rsid w:val="00FB1A3F"/>
    <w:pPr>
      <w:tabs>
        <w:tab w:val="center" w:pos="4252"/>
        <w:tab w:val="right" w:pos="8504"/>
      </w:tabs>
    </w:pPr>
  </w:style>
  <w:style w:type="character" w:styleId="Nmerodelnea">
    <w:name w:val="line number"/>
    <w:basedOn w:val="Fuentedeprrafopredeter"/>
    <w:rsid w:val="00FB1A3F"/>
  </w:style>
  <w:style w:type="paragraph" w:styleId="Textonotapie">
    <w:name w:val="footnote text"/>
    <w:basedOn w:val="Normal"/>
    <w:semiHidden/>
    <w:rsid w:val="009872D2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9872D2"/>
    <w:rPr>
      <w:vertAlign w:val="superscript"/>
    </w:rPr>
  </w:style>
  <w:style w:type="character" w:styleId="nfasis">
    <w:name w:val="Emphasis"/>
    <w:basedOn w:val="Fuentedeprrafopredeter"/>
    <w:qFormat/>
    <w:rsid w:val="00772E20"/>
    <w:rPr>
      <w:i/>
      <w:iCs/>
    </w:rPr>
  </w:style>
  <w:style w:type="character" w:customStyle="1" w:styleId="apple-converted-space">
    <w:name w:val="apple-converted-space"/>
    <w:basedOn w:val="Fuentedeprrafopredeter"/>
    <w:rsid w:val="00A1759C"/>
  </w:style>
  <w:style w:type="character" w:customStyle="1" w:styleId="A10">
    <w:name w:val="A10"/>
    <w:uiPriority w:val="99"/>
    <w:rsid w:val="00E57059"/>
    <w:rPr>
      <w:rFonts w:cs="Garamond Premr Pro"/>
      <w:color w:val="221E1F"/>
    </w:rPr>
  </w:style>
  <w:style w:type="paragraph" w:customStyle="1" w:styleId="Default">
    <w:name w:val="Default"/>
    <w:rsid w:val="00E57059"/>
    <w:pPr>
      <w:autoSpaceDE w:val="0"/>
      <w:autoSpaceDN w:val="0"/>
      <w:adjustRightInd w:val="0"/>
    </w:pPr>
    <w:rPr>
      <w:rFonts w:ascii="Myriad Pro" w:eastAsia="Myriad Pro" w:cs="Myriad Pro"/>
      <w:color w:val="000000"/>
      <w:sz w:val="24"/>
      <w:szCs w:val="24"/>
      <w:lang w:val="es-ES"/>
    </w:rPr>
  </w:style>
  <w:style w:type="paragraph" w:customStyle="1" w:styleId="Pa2">
    <w:name w:val="Pa2"/>
    <w:basedOn w:val="Default"/>
    <w:next w:val="Default"/>
    <w:uiPriority w:val="99"/>
    <w:rsid w:val="00E57059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E57059"/>
    <w:rPr>
      <w:rFonts w:cs="Myriad Pro"/>
      <w:color w:val="221E1F"/>
      <w:sz w:val="22"/>
      <w:szCs w:val="22"/>
    </w:rPr>
  </w:style>
  <w:style w:type="character" w:customStyle="1" w:styleId="A6">
    <w:name w:val="A6"/>
    <w:uiPriority w:val="99"/>
    <w:rsid w:val="00E57059"/>
    <w:rPr>
      <w:rFonts w:cs="Myriad Pro"/>
      <w:color w:val="221E1F"/>
      <w:sz w:val="22"/>
      <w:szCs w:val="22"/>
    </w:rPr>
  </w:style>
  <w:style w:type="paragraph" w:customStyle="1" w:styleId="Pa0">
    <w:name w:val="Pa0"/>
    <w:basedOn w:val="Default"/>
    <w:next w:val="Default"/>
    <w:uiPriority w:val="99"/>
    <w:rsid w:val="00285484"/>
    <w:pPr>
      <w:spacing w:line="241" w:lineRule="atLeast"/>
    </w:pPr>
    <w:rPr>
      <w:rFonts w:ascii="Garamond Premr Pro" w:eastAsia="Times New Roman" w:hAnsi="Garamond Premr Pro" w:cs="Times New Roman"/>
      <w:color w:val="auto"/>
    </w:rPr>
  </w:style>
  <w:style w:type="character" w:customStyle="1" w:styleId="A7">
    <w:name w:val="A7"/>
    <w:uiPriority w:val="99"/>
    <w:rsid w:val="00285484"/>
    <w:rPr>
      <w:rFonts w:cs="Garamond Premr Pro"/>
      <w:color w:val="221E1F"/>
      <w:sz w:val="20"/>
      <w:szCs w:val="20"/>
    </w:rPr>
  </w:style>
  <w:style w:type="character" w:customStyle="1" w:styleId="A2">
    <w:name w:val="A2"/>
    <w:uiPriority w:val="99"/>
    <w:rsid w:val="00285484"/>
    <w:rPr>
      <w:rFonts w:cs="Garamond Premr Pro"/>
      <w:color w:val="221E1F"/>
      <w:sz w:val="20"/>
      <w:szCs w:val="20"/>
    </w:rPr>
  </w:style>
  <w:style w:type="character" w:customStyle="1" w:styleId="A8">
    <w:name w:val="A8"/>
    <w:uiPriority w:val="99"/>
    <w:rsid w:val="00285484"/>
    <w:rPr>
      <w:rFonts w:cs="Garamond Premr Pro"/>
      <w:color w:val="221E1F"/>
      <w:sz w:val="11"/>
      <w:szCs w:val="11"/>
    </w:rPr>
  </w:style>
  <w:style w:type="character" w:customStyle="1" w:styleId="A3">
    <w:name w:val="A3"/>
    <w:uiPriority w:val="99"/>
    <w:rsid w:val="00B46540"/>
    <w:rPr>
      <w:rFonts w:cs="Garamond Premr Pro Capt"/>
      <w:b/>
      <w:bCs/>
      <w:color w:val="221E1F"/>
      <w:sz w:val="40"/>
      <w:szCs w:val="40"/>
    </w:rPr>
  </w:style>
  <w:style w:type="character" w:customStyle="1" w:styleId="A4">
    <w:name w:val="A4"/>
    <w:uiPriority w:val="99"/>
    <w:rsid w:val="00B46540"/>
    <w:rPr>
      <w:rFonts w:cs="Garamond Premr Pro Capt"/>
      <w:b/>
      <w:bCs/>
      <w:color w:val="221E1F"/>
      <w:sz w:val="34"/>
      <w:szCs w:val="34"/>
    </w:rPr>
  </w:style>
  <w:style w:type="paragraph" w:customStyle="1" w:styleId="Pa4">
    <w:name w:val="Pa4"/>
    <w:basedOn w:val="Default"/>
    <w:next w:val="Default"/>
    <w:uiPriority w:val="99"/>
    <w:rsid w:val="00824B98"/>
    <w:pPr>
      <w:spacing w:line="241" w:lineRule="atLeast"/>
    </w:pPr>
    <w:rPr>
      <w:rFonts w:ascii="Garamond Premr Pro Smbd Disp" w:eastAsia="Times New Roman" w:hAnsi="Garamond Premr Pro Smbd Disp" w:cs="Times New Roman"/>
      <w:color w:val="auto"/>
    </w:rPr>
  </w:style>
  <w:style w:type="paragraph" w:customStyle="1" w:styleId="Pa10">
    <w:name w:val="Pa10"/>
    <w:basedOn w:val="Default"/>
    <w:next w:val="Default"/>
    <w:uiPriority w:val="99"/>
    <w:rsid w:val="008D3AC2"/>
    <w:pPr>
      <w:spacing w:line="241" w:lineRule="atLeast"/>
    </w:pPr>
    <w:rPr>
      <w:rFonts w:ascii="Garamond Premr Pro" w:eastAsia="Times New Roman" w:hAnsi="Garamond Premr Pro" w:cs="Times New Roman"/>
      <w:color w:val="auto"/>
    </w:rPr>
  </w:style>
  <w:style w:type="character" w:customStyle="1" w:styleId="A12">
    <w:name w:val="A12"/>
    <w:uiPriority w:val="99"/>
    <w:rsid w:val="008D3AC2"/>
    <w:rPr>
      <w:rFonts w:cs="Garamond Premr Pro"/>
      <w:color w:val="221E1F"/>
      <w:sz w:val="14"/>
      <w:szCs w:val="14"/>
    </w:rPr>
  </w:style>
  <w:style w:type="paragraph" w:customStyle="1" w:styleId="Pa6">
    <w:name w:val="Pa6"/>
    <w:basedOn w:val="Default"/>
    <w:next w:val="Default"/>
    <w:uiPriority w:val="99"/>
    <w:rsid w:val="008D3AC2"/>
    <w:pPr>
      <w:spacing w:line="241" w:lineRule="atLeast"/>
    </w:pPr>
    <w:rPr>
      <w:rFonts w:ascii="Garamond Premr Pro Smbd" w:eastAsia="Times New Roman" w:hAnsi="Garamond Premr Pro Smbd" w:cs="Times New Roman"/>
      <w:color w:val="auto"/>
    </w:rPr>
  </w:style>
  <w:style w:type="paragraph" w:customStyle="1" w:styleId="Pa7">
    <w:name w:val="Pa7"/>
    <w:basedOn w:val="Default"/>
    <w:next w:val="Default"/>
    <w:uiPriority w:val="99"/>
    <w:rsid w:val="008D3AC2"/>
    <w:pPr>
      <w:spacing w:line="241" w:lineRule="atLeast"/>
    </w:pPr>
    <w:rPr>
      <w:rFonts w:ascii="Garamond Premr Pro Smbd" w:eastAsia="Times New Roman" w:hAnsi="Garamond Premr Pro Smbd" w:cs="Times New Roman"/>
      <w:color w:val="auto"/>
    </w:rPr>
  </w:style>
  <w:style w:type="paragraph" w:customStyle="1" w:styleId="Pa8">
    <w:name w:val="Pa8"/>
    <w:basedOn w:val="Default"/>
    <w:next w:val="Default"/>
    <w:uiPriority w:val="99"/>
    <w:rsid w:val="008D3AC2"/>
    <w:pPr>
      <w:spacing w:line="241" w:lineRule="atLeast"/>
    </w:pPr>
    <w:rPr>
      <w:rFonts w:ascii="Garamond Premr Pro Smbd" w:eastAsia="Times New Roman" w:hAnsi="Garamond Premr Pro Smbd" w:cs="Times New Roman"/>
      <w:color w:val="auto"/>
    </w:rPr>
  </w:style>
  <w:style w:type="table" w:customStyle="1" w:styleId="Cuadrculadetablaclara1">
    <w:name w:val="Cuadrícula de tabla clara1"/>
    <w:basedOn w:val="Tablanormal"/>
    <w:uiPriority w:val="40"/>
    <w:rsid w:val="00B74E7F"/>
    <w:rPr>
      <w:rFonts w:asciiTheme="minorHAnsi" w:eastAsiaTheme="minorHAnsi" w:hAnsiTheme="minorHAnsi" w:cstheme="minorBidi"/>
      <w:sz w:val="24"/>
      <w:szCs w:val="24"/>
      <w:lang w:val="es-ES_tradnl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globo">
    <w:name w:val="Balloon Text"/>
    <w:basedOn w:val="Normal"/>
    <w:link w:val="TextodegloboCar"/>
    <w:semiHidden/>
    <w:unhideWhenUsed/>
    <w:rsid w:val="00A16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A16084"/>
    <w:rPr>
      <w:rFonts w:ascii="Tahoma" w:hAnsi="Tahoma" w:cs="Tahoma"/>
      <w:sz w:val="16"/>
      <w:szCs w:val="16"/>
      <w:lang w:val="en-US" w:eastAsia="es-ES"/>
    </w:rPr>
  </w:style>
  <w:style w:type="character" w:styleId="Refdecomentario">
    <w:name w:val="annotation reference"/>
    <w:basedOn w:val="Fuentedeprrafopredeter"/>
    <w:semiHidden/>
    <w:unhideWhenUsed/>
    <w:rsid w:val="00FA11A4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FA11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FA11A4"/>
    <w:rPr>
      <w:lang w:val="en-U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FA11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FA11A4"/>
    <w:rPr>
      <w:b/>
      <w:bCs/>
      <w:lang w:val="en-U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624F9"/>
    <w:rPr>
      <w:color w:val="808080"/>
      <w:shd w:val="clear" w:color="auto" w:fill="E6E6E6"/>
    </w:rPr>
  </w:style>
  <w:style w:type="character" w:styleId="Mencinsinresolver">
    <w:name w:val="Unresolved Mention"/>
    <w:basedOn w:val="Fuentedeprrafopredeter"/>
    <w:uiPriority w:val="99"/>
    <w:semiHidden/>
    <w:unhideWhenUsed/>
    <w:rsid w:val="00CA7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3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2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3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1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1930/agrosavia.manual.7404654" TargetMode="External"/><Relationship Id="rId2" Type="http://schemas.openxmlformats.org/officeDocument/2006/relationships/hyperlink" Target="https://credit.niso.org/" TargetMode="External"/><Relationship Id="rId1" Type="http://schemas.openxmlformats.org/officeDocument/2006/relationships/hyperlink" Target="https://agrovoc.fao.org/browse/agrovoc/es/page/c_5579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goo.gl/M4sAm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tif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590/S1519-566X2003000200006" TargetMode="Externa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doi.org/10.1590/S1519-566X200300020000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A6941-AC82-4A33-86B6-E5546EC2E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1196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Estimados señores:</vt:lpstr>
    </vt:vector>
  </TitlesOfParts>
  <Company>Universidad de Concepción</Company>
  <LinksUpToDate>false</LinksUpToDate>
  <CharactersWithSpaces>7760</CharactersWithSpaces>
  <SharedDoc>false</SharedDoc>
  <HLinks>
    <vt:vector size="6" baseType="variant">
      <vt:variant>
        <vt:i4>1048670</vt:i4>
      </vt:variant>
      <vt:variant>
        <vt:i4>0</vt:i4>
      </vt:variant>
      <vt:variant>
        <vt:i4>0</vt:i4>
      </vt:variant>
      <vt:variant>
        <vt:i4>5</vt:i4>
      </vt:variant>
      <vt:variant>
        <vt:lpwstr>http://www.fao.org/docrep/015/i2490e/i2490e00.htm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Estimados señores:</dc:title>
  <dc:creator>Ing. Agricola</dc:creator>
  <cp:lastModifiedBy>Claudia Pilar Villa Jimenez</cp:lastModifiedBy>
  <cp:revision>5</cp:revision>
  <cp:lastPrinted>2005-11-23T18:48:00Z</cp:lastPrinted>
  <dcterms:created xsi:type="dcterms:W3CDTF">2023-06-27T18:30:00Z</dcterms:created>
  <dcterms:modified xsi:type="dcterms:W3CDTF">2023-06-28T20:00:00Z</dcterms:modified>
</cp:coreProperties>
</file>